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RPr="00923D98" w:rsidP="00F64A83" w14:paraId="7CF12B23" w14:textId="77777777">
      <w:pPr>
        <w:jc w:val="center"/>
        <w:rPr>
          <w:rFonts w:asciiTheme="minorHAnsi" w:hAnsiTheme="minorHAnsi" w:cstheme="minorHAnsi"/>
          <w:b/>
          <w:sz w:val="28"/>
          <w:szCs w:val="28"/>
        </w:rPr>
      </w:pPr>
    </w:p>
    <w:p w:rsidR="00784204" w:rsidRPr="00923D98" w:rsidP="00F64A83" w14:paraId="512763B9" w14:textId="77777777">
      <w:pPr>
        <w:jc w:val="center"/>
        <w:rPr>
          <w:rFonts w:asciiTheme="minorHAnsi" w:hAnsiTheme="minorHAnsi" w:cstheme="minorHAnsi"/>
          <w:b/>
          <w:sz w:val="28"/>
          <w:szCs w:val="28"/>
        </w:rPr>
      </w:pPr>
    </w:p>
    <w:p w:rsidR="00784204" w:rsidRPr="00923D98" w:rsidP="00F64A83" w14:paraId="26E40892" w14:textId="77777777">
      <w:pPr>
        <w:jc w:val="center"/>
        <w:rPr>
          <w:rFonts w:asciiTheme="minorHAnsi" w:hAnsiTheme="minorHAnsi" w:cstheme="minorHAnsi"/>
          <w:b/>
          <w:sz w:val="28"/>
          <w:szCs w:val="28"/>
        </w:rPr>
      </w:pPr>
    </w:p>
    <w:p w:rsidR="00784204" w:rsidRPr="00923D98" w:rsidP="00F64A83" w14:paraId="740DA073" w14:textId="77777777">
      <w:pPr>
        <w:jc w:val="center"/>
        <w:rPr>
          <w:rFonts w:asciiTheme="minorHAnsi" w:hAnsiTheme="minorHAnsi" w:cstheme="minorHAnsi"/>
          <w:b/>
          <w:sz w:val="28"/>
          <w:szCs w:val="28"/>
        </w:rPr>
      </w:pPr>
    </w:p>
    <w:p w:rsidR="00784204" w:rsidRPr="00923D98" w:rsidP="00F64A83" w14:paraId="395DB790" w14:textId="5B57E135">
      <w:pPr>
        <w:jc w:val="center"/>
        <w:rPr>
          <w:rFonts w:asciiTheme="minorHAnsi" w:hAnsiTheme="minorHAnsi" w:cstheme="minorHAnsi"/>
          <w:b/>
          <w:sz w:val="28"/>
          <w:szCs w:val="28"/>
        </w:rPr>
      </w:pPr>
      <w:r w:rsidRPr="00923D98">
        <w:rPr>
          <w:rFonts w:asciiTheme="minorHAnsi" w:hAnsiTheme="minorHAnsi" w:cstheme="minorHAnsi"/>
          <w:b/>
          <w:noProof/>
          <w:sz w:val="28"/>
          <w:szCs w:val="28"/>
        </w:rPr>
        <w:drawing>
          <wp:inline distT="0" distB="0" distL="0" distR="0">
            <wp:extent cx="5760720" cy="1209675"/>
            <wp:effectExtent l="0" t="0" r="0" b="9525"/>
            <wp:docPr id="2" name="Obrázek 2"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logo, Grafika, text&#10;&#10;Popis byl vytvořen automaticky"/>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5760720" cy="1209675"/>
                    </a:xfrm>
                    <a:prstGeom prst="rect">
                      <a:avLst/>
                    </a:prstGeom>
                  </pic:spPr>
                </pic:pic>
              </a:graphicData>
            </a:graphic>
          </wp:inline>
        </w:drawing>
      </w:r>
    </w:p>
    <w:p w:rsidR="003351A8" w:rsidRPr="00923D98" w:rsidP="00F64A83" w14:paraId="4B10D2FA" w14:textId="77777777">
      <w:pPr>
        <w:jc w:val="center"/>
        <w:rPr>
          <w:rFonts w:asciiTheme="minorHAnsi" w:hAnsiTheme="minorHAnsi" w:cstheme="minorHAnsi"/>
          <w:b/>
          <w:sz w:val="28"/>
          <w:szCs w:val="28"/>
        </w:rPr>
      </w:pPr>
    </w:p>
    <w:p w:rsidR="006D77D3" w:rsidRPr="00923D98" w:rsidP="00F64A83" w14:paraId="48B89A50" w14:textId="77777777">
      <w:pPr>
        <w:jc w:val="center"/>
        <w:rPr>
          <w:rFonts w:asciiTheme="minorHAnsi" w:hAnsiTheme="minorHAnsi" w:cstheme="minorHAnsi"/>
          <w:b/>
          <w:sz w:val="28"/>
          <w:szCs w:val="28"/>
        </w:rPr>
      </w:pPr>
    </w:p>
    <w:p w:rsidR="006D77D3" w:rsidRPr="00923D98" w:rsidP="00F64A83" w14:paraId="6D04C24E" w14:textId="77777777">
      <w:pPr>
        <w:jc w:val="center"/>
        <w:rPr>
          <w:rFonts w:asciiTheme="minorHAnsi" w:hAnsiTheme="minorHAnsi" w:cstheme="minorHAnsi"/>
          <w:b/>
          <w:sz w:val="28"/>
          <w:szCs w:val="28"/>
        </w:rPr>
      </w:pPr>
    </w:p>
    <w:p w:rsidR="00564925" w:rsidRPr="00923D98" w:rsidP="00F64A83" w14:paraId="6A9F22F8" w14:textId="77777777">
      <w:pPr>
        <w:jc w:val="center"/>
        <w:rPr>
          <w:rFonts w:asciiTheme="minorHAnsi" w:hAnsiTheme="minorHAnsi" w:cstheme="minorHAnsi"/>
          <w:b/>
          <w:color w:val="000000" w:themeColor="text1"/>
          <w:sz w:val="36"/>
          <w:szCs w:val="28"/>
        </w:rPr>
      </w:pPr>
    </w:p>
    <w:p w:rsidR="00F64A83" w:rsidRPr="00923D98" w:rsidP="00F64A83" w14:paraId="760D6F03" w14:textId="2B08D406">
      <w:pPr>
        <w:jc w:val="center"/>
        <w:rPr>
          <w:rFonts w:asciiTheme="minorHAnsi" w:hAnsiTheme="minorHAnsi" w:cstheme="minorHAnsi"/>
          <w:b/>
          <w:color w:val="000000" w:themeColor="text1"/>
          <w:sz w:val="44"/>
          <w:szCs w:val="36"/>
        </w:rPr>
      </w:pPr>
      <w:r w:rsidRPr="00923D98">
        <w:rPr>
          <w:rFonts w:asciiTheme="minorHAnsi" w:hAnsiTheme="minorHAnsi" w:cstheme="minorHAnsi"/>
          <w:b/>
          <w:color w:val="000000" w:themeColor="text1"/>
          <w:sz w:val="44"/>
          <w:szCs w:val="36"/>
        </w:rPr>
        <w:t>Strategick</w:t>
      </w:r>
      <w:r w:rsidRPr="00923D98" w:rsidR="00564925">
        <w:rPr>
          <w:rFonts w:asciiTheme="minorHAnsi" w:hAnsiTheme="minorHAnsi" w:cstheme="minorHAnsi"/>
          <w:b/>
          <w:color w:val="000000" w:themeColor="text1"/>
          <w:sz w:val="44"/>
          <w:szCs w:val="36"/>
        </w:rPr>
        <w:t>ý</w:t>
      </w:r>
      <w:r w:rsidRPr="00923D98" w:rsidR="006C7F74">
        <w:rPr>
          <w:rFonts w:asciiTheme="minorHAnsi" w:hAnsiTheme="minorHAnsi" w:cstheme="minorHAnsi"/>
          <w:b/>
          <w:color w:val="000000" w:themeColor="text1"/>
          <w:sz w:val="44"/>
          <w:szCs w:val="36"/>
        </w:rPr>
        <w:t xml:space="preserve"> rám</w:t>
      </w:r>
      <w:r w:rsidRPr="00923D98" w:rsidR="00564925">
        <w:rPr>
          <w:rFonts w:asciiTheme="minorHAnsi" w:hAnsiTheme="minorHAnsi" w:cstheme="minorHAnsi"/>
          <w:b/>
          <w:color w:val="000000" w:themeColor="text1"/>
          <w:sz w:val="44"/>
          <w:szCs w:val="36"/>
        </w:rPr>
        <w:t>ec</w:t>
      </w:r>
      <w:r w:rsidRPr="00923D98" w:rsidR="000C5428">
        <w:rPr>
          <w:rFonts w:asciiTheme="minorHAnsi" w:hAnsiTheme="minorHAnsi" w:cstheme="minorHAnsi"/>
          <w:b/>
          <w:color w:val="000000" w:themeColor="text1"/>
          <w:sz w:val="44"/>
          <w:szCs w:val="36"/>
        </w:rPr>
        <w:t xml:space="preserve"> rozvoje péče o zdraví v České republice do roku </w:t>
      </w:r>
      <w:r w:rsidRPr="00923D98" w:rsidR="00187463">
        <w:rPr>
          <w:rFonts w:asciiTheme="minorHAnsi" w:hAnsiTheme="minorHAnsi" w:cstheme="minorHAnsi"/>
          <w:b/>
          <w:color w:val="000000" w:themeColor="text1"/>
          <w:sz w:val="44"/>
          <w:szCs w:val="36"/>
        </w:rPr>
        <w:t>2035</w:t>
      </w:r>
    </w:p>
    <w:p w:rsidR="00564925" w:rsidRPr="00923D98" w:rsidP="00F64A83" w14:paraId="5BB40FBF" w14:textId="77777777">
      <w:pPr>
        <w:jc w:val="center"/>
        <w:rPr>
          <w:rFonts w:asciiTheme="minorHAnsi" w:hAnsiTheme="minorHAnsi" w:cstheme="minorHAnsi"/>
          <w:b/>
          <w:color w:val="1F497D" w:themeColor="text2"/>
          <w:sz w:val="44"/>
          <w:szCs w:val="36"/>
        </w:rPr>
      </w:pPr>
    </w:p>
    <w:p w:rsidR="00B70D43" w:rsidRPr="00923D98" w:rsidP="00F64A83" w14:paraId="4338AB9A" w14:textId="77777777">
      <w:pPr>
        <w:jc w:val="center"/>
        <w:rPr>
          <w:rFonts w:asciiTheme="minorHAnsi" w:hAnsiTheme="minorHAnsi" w:cstheme="minorHAnsi"/>
          <w:b/>
          <w:color w:val="1F497D" w:themeColor="text2"/>
          <w:sz w:val="44"/>
          <w:szCs w:val="36"/>
        </w:rPr>
      </w:pPr>
    </w:p>
    <w:p w:rsidR="00564925" w:rsidRPr="00923D98" w:rsidP="00F64A83" w14:paraId="701C103A" w14:textId="77777777">
      <w:pPr>
        <w:jc w:val="center"/>
        <w:rPr>
          <w:rFonts w:asciiTheme="minorHAnsi" w:hAnsiTheme="minorHAnsi" w:cstheme="minorHAnsi"/>
          <w:b/>
          <w:color w:val="1F497D" w:themeColor="text2"/>
          <w:sz w:val="44"/>
          <w:szCs w:val="36"/>
        </w:rPr>
      </w:pPr>
    </w:p>
    <w:p w:rsidR="00564925" w:rsidRPr="00923D98" w:rsidP="00F64A83" w14:paraId="7FA786BD" w14:textId="57ED3E1F">
      <w:pPr>
        <w:jc w:val="center"/>
        <w:rPr>
          <w:rFonts w:asciiTheme="minorHAnsi" w:hAnsiTheme="minorHAnsi" w:cstheme="minorHAnsi"/>
          <w:b/>
          <w:color w:val="1F497D" w:themeColor="text2"/>
          <w:sz w:val="44"/>
          <w:szCs w:val="36"/>
        </w:rPr>
      </w:pPr>
      <w:r w:rsidRPr="00923D98">
        <w:rPr>
          <w:rFonts w:asciiTheme="minorHAnsi" w:hAnsiTheme="minorHAnsi" w:cstheme="minorHAnsi"/>
          <w:b/>
          <w:color w:val="1F497D" w:themeColor="text2"/>
          <w:sz w:val="44"/>
          <w:szCs w:val="36"/>
        </w:rPr>
        <w:t xml:space="preserve">Implementační plán č. </w:t>
      </w:r>
      <w:r w:rsidRPr="00923D98" w:rsidR="00B8739B">
        <w:rPr>
          <w:rFonts w:asciiTheme="minorHAnsi" w:hAnsiTheme="minorHAnsi" w:cstheme="minorHAnsi"/>
          <w:b/>
          <w:color w:val="1F497D" w:themeColor="text2"/>
          <w:sz w:val="44"/>
          <w:szCs w:val="36"/>
          <w:highlight w:val="lightGray"/>
        </w:rPr>
        <w:t>1.</w:t>
      </w:r>
      <w:r w:rsidRPr="00923D98" w:rsidR="008E0E98">
        <w:rPr>
          <w:rFonts w:asciiTheme="minorHAnsi" w:hAnsiTheme="minorHAnsi" w:cstheme="minorHAnsi"/>
          <w:b/>
          <w:color w:val="1F497D" w:themeColor="text2"/>
          <w:sz w:val="44"/>
          <w:szCs w:val="36"/>
        </w:rPr>
        <w:t>3</w:t>
      </w:r>
      <w:r w:rsidRPr="00923D98">
        <w:rPr>
          <w:rFonts w:asciiTheme="minorHAnsi" w:hAnsiTheme="minorHAnsi" w:cstheme="minorHAnsi"/>
          <w:b/>
          <w:i/>
          <w:color w:val="1F497D" w:themeColor="text2"/>
          <w:sz w:val="44"/>
          <w:szCs w:val="36"/>
        </w:rPr>
        <w:t xml:space="preserve"> </w:t>
      </w:r>
      <w:r w:rsidRPr="00923D98">
        <w:rPr>
          <w:rFonts w:asciiTheme="minorHAnsi" w:hAnsiTheme="minorHAnsi" w:cstheme="minorHAnsi"/>
          <w:b/>
          <w:color w:val="1F497D" w:themeColor="text2"/>
          <w:sz w:val="44"/>
          <w:szCs w:val="36"/>
        </w:rPr>
        <w:t xml:space="preserve"> </w:t>
      </w:r>
    </w:p>
    <w:p w:rsidR="006C6A55" w:rsidRPr="00923D98" w:rsidP="006C6A55" w14:paraId="58E902A9" w14:textId="52D7B986">
      <w:pPr>
        <w:jc w:val="center"/>
        <w:rPr>
          <w:rFonts w:asciiTheme="minorHAnsi" w:hAnsiTheme="minorHAnsi" w:cstheme="minorHAnsi"/>
          <w:b/>
        </w:rPr>
      </w:pPr>
      <w:r w:rsidRPr="00923D98">
        <w:rPr>
          <w:rFonts w:asciiTheme="minorHAnsi" w:hAnsiTheme="minorHAnsi" w:cstheme="minorHAnsi"/>
          <w:b/>
          <w:color w:val="1F497D" w:themeColor="text2"/>
          <w:sz w:val="44"/>
          <w:szCs w:val="36"/>
        </w:rPr>
        <w:t>Léková politika a zvýšení dostupnosti léčiv</w:t>
      </w:r>
    </w:p>
    <w:p w:rsidR="00B70D43" w:rsidRPr="00923D98" w14:paraId="76E930A3" w14:textId="77777777">
      <w:pPr>
        <w:rPr>
          <w:rFonts w:asciiTheme="minorHAnsi" w:hAnsiTheme="minorHAnsi" w:cstheme="minorHAnsi"/>
          <w:color w:val="1F497D" w:themeColor="text2"/>
          <w:sz w:val="36"/>
          <w:szCs w:val="36"/>
        </w:rPr>
      </w:pPr>
    </w:p>
    <w:p w:rsidR="001D3B85" w:rsidRPr="00923D98" w:rsidP="00FB3D21" w14:paraId="6AFBD6D2" w14:textId="6A7FFCAA">
      <w:pPr>
        <w:jc w:val="center"/>
        <w:rPr>
          <w:rFonts w:asciiTheme="minorHAnsi" w:hAnsiTheme="minorHAnsi" w:cstheme="minorHAnsi"/>
          <w:b/>
          <w:i/>
          <w:color w:val="1F497D" w:themeColor="text2"/>
          <w:sz w:val="36"/>
          <w:szCs w:val="36"/>
          <w:highlight w:val="lightGray"/>
        </w:rPr>
      </w:pP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29B0DE74" w14:textId="77777777" w:rsidTr="00B70D43">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B70D43" w:rsidRPr="00923D98" w:rsidP="009268CD" w14:paraId="5A6D2EFF" w14:textId="77777777">
            <w:pPr>
              <w:keepNext/>
              <w:spacing w:after="120"/>
              <w:jc w:val="center"/>
              <w:rPr>
                <w:rFonts w:asciiTheme="minorHAnsi" w:hAnsiTheme="minorHAnsi" w:cstheme="minorHAnsi"/>
                <w:b/>
              </w:rPr>
            </w:pPr>
            <w:bookmarkStart w:id="0" w:name="_Toc453696095"/>
            <w:r w:rsidRPr="00923D98">
              <w:rPr>
                <w:rFonts w:asciiTheme="minorHAnsi" w:hAnsiTheme="minorHAnsi" w:cstheme="minorHAnsi"/>
                <w:b/>
                <w:color w:val="205489"/>
              </w:rPr>
              <w:t>SOUHRN</w:t>
            </w:r>
          </w:p>
        </w:tc>
      </w:tr>
      <w:tr w14:paraId="2FA2ACDF" w14:textId="77777777" w:rsidTr="00D47AB3">
        <w:tblPrEx>
          <w:tblW w:w="10294" w:type="dxa"/>
          <w:tblCellMar>
            <w:top w:w="57" w:type="dxa"/>
            <w:left w:w="142" w:type="dxa"/>
            <w:bottom w:w="57" w:type="dxa"/>
            <w:right w:w="142" w:type="dxa"/>
          </w:tblCellMar>
          <w:tblLook w:val="04A0"/>
        </w:tblPrEx>
        <w:trPr>
          <w:trHeight w:val="411"/>
        </w:trPr>
        <w:tc>
          <w:tcPr>
            <w:tcW w:w="3362" w:type="dxa"/>
            <w:shd w:val="clear" w:color="auto" w:fill="EEECE1" w:themeFill="background2"/>
            <w:tcMar>
              <w:left w:w="88" w:type="dxa"/>
            </w:tcMar>
            <w:vAlign w:val="center"/>
          </w:tcPr>
          <w:p w:rsidR="006C6A55" w:rsidRPr="00923D98" w:rsidP="006C6A55" w14:paraId="0152DE9D" w14:textId="77777777">
            <w:pPr>
              <w:keepNext/>
              <w:keepLines/>
              <w:spacing w:before="80" w:after="80"/>
              <w:ind w:left="357" w:hanging="357"/>
              <w:rPr>
                <w:rFonts w:asciiTheme="minorHAnsi" w:hAnsiTheme="minorHAnsi" w:cstheme="minorHAnsi"/>
                <w:b/>
              </w:rPr>
            </w:pPr>
            <w:bookmarkStart w:id="1" w:name="_Toc2949801"/>
            <w:bookmarkStart w:id="2" w:name="_Toc2952711"/>
            <w:bookmarkStart w:id="3" w:name="_Toc6830969"/>
            <w:bookmarkStart w:id="4" w:name="_Toc6852157"/>
            <w:bookmarkStart w:id="5" w:name="_Toc7697485"/>
            <w:bookmarkStart w:id="6" w:name="_Toc7698256"/>
            <w:bookmarkStart w:id="7" w:name="_Toc7705100"/>
            <w:bookmarkStart w:id="8" w:name="_Toc7705571"/>
            <w:bookmarkStart w:id="9" w:name="_Toc7706087"/>
            <w:bookmarkStart w:id="10" w:name="_Toc7779476"/>
            <w:bookmarkStart w:id="11" w:name="_Toc10196738"/>
            <w:bookmarkStart w:id="12" w:name="_Toc10196865"/>
            <w:bookmarkStart w:id="13" w:name="_Toc10619757"/>
            <w:bookmarkStart w:id="14" w:name="_Toc536610981"/>
            <w:r w:rsidRPr="00923D98">
              <w:rPr>
                <w:rFonts w:asciiTheme="minorHAnsi" w:hAnsiTheme="minorHAnsi" w:cstheme="minorHAnsi"/>
                <w:b/>
              </w:rPr>
              <w:t>Název</w:t>
            </w:r>
            <w:bookmarkEnd w:id="1"/>
            <w:bookmarkEnd w:id="2"/>
            <w:bookmarkEnd w:id="3"/>
            <w:bookmarkEnd w:id="4"/>
            <w:bookmarkEnd w:id="5"/>
            <w:bookmarkEnd w:id="6"/>
            <w:bookmarkEnd w:id="7"/>
            <w:bookmarkEnd w:id="8"/>
            <w:bookmarkEnd w:id="9"/>
            <w:bookmarkEnd w:id="10"/>
            <w:bookmarkEnd w:id="11"/>
            <w:bookmarkEnd w:id="12"/>
            <w:bookmarkEnd w:id="13"/>
            <w:r w:rsidRPr="00923D98">
              <w:rPr>
                <w:rFonts w:asciiTheme="minorHAnsi" w:hAnsiTheme="minorHAnsi" w:cstheme="minorHAnsi"/>
                <w:b/>
              </w:rPr>
              <w:t xml:space="preserve"> </w:t>
            </w:r>
            <w:bookmarkEnd w:id="14"/>
          </w:p>
        </w:tc>
        <w:tc>
          <w:tcPr>
            <w:tcW w:w="6932" w:type="dxa"/>
            <w:shd w:val="clear" w:color="auto" w:fill="auto"/>
            <w:tcMar>
              <w:left w:w="88" w:type="dxa"/>
            </w:tcMar>
          </w:tcPr>
          <w:p w:rsidR="006C6A55" w:rsidRPr="00923D98" w:rsidP="006C6A55" w14:paraId="6332D1AC" w14:textId="1ABE37E9">
            <w:pPr>
              <w:keepNext/>
              <w:keepLines/>
              <w:tabs>
                <w:tab w:val="left" w:pos="1843"/>
              </w:tabs>
              <w:spacing w:after="120"/>
              <w:ind w:left="357" w:hanging="357"/>
              <w:rPr>
                <w:rFonts w:asciiTheme="minorHAnsi" w:hAnsiTheme="minorHAnsi" w:cstheme="minorHAnsi"/>
                <w:i/>
                <w:caps/>
              </w:rPr>
            </w:pPr>
            <w:r w:rsidRPr="00923D98">
              <w:rPr>
                <w:rFonts w:asciiTheme="minorHAnsi" w:hAnsiTheme="minorHAnsi" w:cstheme="minorHAnsi"/>
              </w:rPr>
              <w:t>Léková politika a zvýšení dostupnosti léčiv</w:t>
            </w:r>
          </w:p>
        </w:tc>
      </w:tr>
      <w:tr w14:paraId="76C104DB" w14:textId="77777777" w:rsidTr="00B70D43">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6C6A55" w:rsidRPr="00923D98" w:rsidP="006C6A55" w14:paraId="0ECEAFD8" w14:textId="77777777">
            <w:pPr>
              <w:keepNext/>
              <w:keepLines/>
              <w:spacing w:before="80" w:after="80"/>
              <w:ind w:left="357" w:hanging="357"/>
              <w:rPr>
                <w:rFonts w:asciiTheme="minorHAnsi" w:hAnsiTheme="minorHAnsi" w:cstheme="minorHAnsi"/>
                <w:b/>
              </w:rPr>
            </w:pPr>
            <w:bookmarkStart w:id="15" w:name="_Toc536610983"/>
            <w:bookmarkStart w:id="16" w:name="_Toc2949803"/>
            <w:bookmarkStart w:id="17" w:name="_Toc2952713"/>
            <w:bookmarkStart w:id="18" w:name="_Toc6830971"/>
            <w:bookmarkStart w:id="19" w:name="_Toc6852159"/>
            <w:bookmarkStart w:id="20" w:name="_Toc7697487"/>
            <w:bookmarkStart w:id="21" w:name="_Toc7698258"/>
            <w:bookmarkStart w:id="22" w:name="_Toc7705102"/>
            <w:bookmarkStart w:id="23" w:name="_Toc7705573"/>
            <w:bookmarkStart w:id="24" w:name="_Toc7706089"/>
            <w:bookmarkStart w:id="25" w:name="_Toc7779478"/>
            <w:bookmarkStart w:id="26" w:name="_Toc10196740"/>
            <w:bookmarkStart w:id="27" w:name="_Toc10196867"/>
            <w:bookmarkStart w:id="28" w:name="_Toc10619759"/>
            <w:r w:rsidRPr="00923D98">
              <w:rPr>
                <w:rFonts w:asciiTheme="minorHAnsi" w:hAnsiTheme="minorHAnsi" w:cstheme="minorHAnsi"/>
                <w:b/>
              </w:rPr>
              <w:t>Zadavatel</w:t>
            </w:r>
            <w:bookmarkEnd w:id="15"/>
            <w:bookmarkEnd w:id="16"/>
            <w:bookmarkEnd w:id="17"/>
            <w:bookmarkEnd w:id="18"/>
            <w:bookmarkEnd w:id="19"/>
            <w:bookmarkEnd w:id="20"/>
            <w:bookmarkEnd w:id="21"/>
            <w:bookmarkEnd w:id="22"/>
            <w:bookmarkEnd w:id="23"/>
            <w:bookmarkEnd w:id="24"/>
            <w:bookmarkEnd w:id="25"/>
            <w:bookmarkEnd w:id="26"/>
            <w:bookmarkEnd w:id="27"/>
            <w:bookmarkEnd w:id="28"/>
          </w:p>
        </w:tc>
        <w:tc>
          <w:tcPr>
            <w:tcW w:w="6932" w:type="dxa"/>
            <w:shd w:val="clear" w:color="auto" w:fill="auto"/>
            <w:tcMar>
              <w:left w:w="88" w:type="dxa"/>
            </w:tcMar>
            <w:vAlign w:val="center"/>
          </w:tcPr>
          <w:p w:rsidR="006C6A55" w:rsidRPr="00923D98" w:rsidP="006C6A55" w14:paraId="2A3CBA3A" w14:textId="77777777">
            <w:pPr>
              <w:keepNext/>
              <w:keepLines/>
              <w:tabs>
                <w:tab w:val="left" w:pos="1843"/>
              </w:tabs>
              <w:spacing w:after="120"/>
              <w:ind w:left="357" w:hanging="357"/>
              <w:rPr>
                <w:rFonts w:asciiTheme="minorHAnsi" w:hAnsiTheme="minorHAnsi" w:cstheme="minorHAnsi"/>
              </w:rPr>
            </w:pPr>
            <w:bookmarkStart w:id="29" w:name="_Toc536610984"/>
            <w:bookmarkStart w:id="30" w:name="_Toc2949804"/>
            <w:bookmarkStart w:id="31" w:name="_Toc2952714"/>
            <w:bookmarkStart w:id="32" w:name="_Toc6830972"/>
            <w:bookmarkStart w:id="33" w:name="_Toc6852160"/>
            <w:bookmarkStart w:id="34" w:name="_Toc7697488"/>
            <w:bookmarkStart w:id="35" w:name="_Toc7698259"/>
            <w:bookmarkStart w:id="36" w:name="_Toc7705103"/>
            <w:bookmarkStart w:id="37" w:name="_Toc7705574"/>
            <w:bookmarkStart w:id="38" w:name="_Toc7706090"/>
            <w:bookmarkStart w:id="39" w:name="_Toc7779479"/>
            <w:bookmarkStart w:id="40" w:name="_Toc10196741"/>
            <w:bookmarkStart w:id="41" w:name="_Toc10196868"/>
            <w:bookmarkStart w:id="42" w:name="_Toc10619760"/>
            <w:r w:rsidRPr="00923D98">
              <w:rPr>
                <w:rFonts w:asciiTheme="minorHAnsi" w:hAnsiTheme="minorHAnsi" w:cstheme="minorHAnsi"/>
              </w:rPr>
              <w:t>Ministerstvo zdravotnictví České republiky</w:t>
            </w:r>
            <w:bookmarkEnd w:id="29"/>
            <w:bookmarkEnd w:id="30"/>
            <w:bookmarkEnd w:id="31"/>
            <w:bookmarkEnd w:id="32"/>
            <w:bookmarkEnd w:id="33"/>
            <w:bookmarkEnd w:id="34"/>
            <w:bookmarkEnd w:id="35"/>
            <w:bookmarkEnd w:id="36"/>
            <w:bookmarkEnd w:id="37"/>
            <w:bookmarkEnd w:id="38"/>
            <w:bookmarkEnd w:id="39"/>
            <w:bookmarkEnd w:id="40"/>
            <w:bookmarkEnd w:id="41"/>
            <w:bookmarkEnd w:id="42"/>
          </w:p>
        </w:tc>
      </w:tr>
      <w:tr w14:paraId="23E622F0" w14:textId="77777777" w:rsidTr="00B70D43">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6C6A55" w:rsidRPr="00923D98" w:rsidP="006C6A55" w14:paraId="65E431D4" w14:textId="77777777">
            <w:pPr>
              <w:keepNext/>
              <w:keepLines/>
              <w:tabs>
                <w:tab w:val="left" w:pos="1843"/>
              </w:tabs>
              <w:spacing w:before="80" w:after="80"/>
              <w:rPr>
                <w:rFonts w:asciiTheme="minorHAnsi" w:hAnsiTheme="minorHAnsi" w:cstheme="minorHAnsi"/>
                <w:b/>
              </w:rPr>
            </w:pPr>
            <w:bookmarkStart w:id="43" w:name="_Toc536610985"/>
            <w:bookmarkStart w:id="44" w:name="_Toc2949805"/>
            <w:bookmarkStart w:id="45" w:name="_Toc2952715"/>
            <w:bookmarkStart w:id="46" w:name="_Toc6830973"/>
            <w:bookmarkStart w:id="47" w:name="_Toc6852161"/>
            <w:bookmarkStart w:id="48" w:name="_Toc7697489"/>
            <w:bookmarkStart w:id="49" w:name="_Toc7698260"/>
            <w:bookmarkStart w:id="50" w:name="_Toc7705104"/>
            <w:bookmarkStart w:id="51" w:name="_Toc7705575"/>
            <w:bookmarkStart w:id="52" w:name="_Toc7706091"/>
            <w:bookmarkStart w:id="53" w:name="_Toc7779480"/>
            <w:bookmarkStart w:id="54" w:name="_Toc10196742"/>
            <w:bookmarkStart w:id="55" w:name="_Toc10196869"/>
            <w:bookmarkStart w:id="56" w:name="_Toc10619761"/>
            <w:r w:rsidRPr="00923D98">
              <w:rPr>
                <w:rFonts w:asciiTheme="minorHAnsi" w:hAnsiTheme="minorHAnsi" w:cstheme="minorHAnsi"/>
                <w:b/>
              </w:rPr>
              <w:t>Gestor tvorby </w:t>
            </w:r>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923D98">
              <w:rPr>
                <w:rFonts w:asciiTheme="minorHAnsi" w:hAnsiTheme="minorHAnsi" w:cstheme="minorHAnsi"/>
                <w:b/>
              </w:rPr>
              <w:t xml:space="preserve">implementačního plánu </w:t>
            </w:r>
          </w:p>
        </w:tc>
        <w:tc>
          <w:tcPr>
            <w:tcW w:w="6932" w:type="dxa"/>
            <w:shd w:val="clear" w:color="auto" w:fill="auto"/>
            <w:tcMar>
              <w:left w:w="88" w:type="dxa"/>
            </w:tcMar>
            <w:vAlign w:val="center"/>
          </w:tcPr>
          <w:p w:rsidR="006C6A55" w:rsidRPr="00923D98" w:rsidP="006C6A55" w14:paraId="7E587DFC" w14:textId="18875090">
            <w:pPr>
              <w:keepNext/>
              <w:keepLines/>
              <w:tabs>
                <w:tab w:val="left" w:pos="1843"/>
              </w:tabs>
              <w:spacing w:after="120"/>
              <w:ind w:left="-49"/>
              <w:rPr>
                <w:rFonts w:asciiTheme="minorHAnsi" w:hAnsiTheme="minorHAnsi" w:cstheme="minorHAnsi"/>
                <w:color w:val="FF0000"/>
              </w:rPr>
            </w:pPr>
            <w:r w:rsidRPr="00923D98">
              <w:rPr>
                <w:rFonts w:asciiTheme="minorHAnsi" w:hAnsiTheme="minorHAnsi" w:cstheme="minorHAnsi"/>
              </w:rPr>
              <w:t>Náměstek ministra NAM/1</w:t>
            </w:r>
          </w:p>
        </w:tc>
      </w:tr>
      <w:tr w14:paraId="0ED510CB" w14:textId="77777777" w:rsidTr="00B70D43">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6C6A55" w:rsidRPr="00923D98" w:rsidP="006C6A55" w14:paraId="4ED7045D" w14:textId="77777777">
            <w:pPr>
              <w:keepNext/>
              <w:keepLines/>
              <w:tabs>
                <w:tab w:val="left" w:pos="1843"/>
              </w:tabs>
              <w:spacing w:before="80" w:after="80"/>
              <w:rPr>
                <w:rFonts w:asciiTheme="minorHAnsi" w:hAnsiTheme="minorHAnsi" w:cstheme="minorHAnsi"/>
                <w:b/>
              </w:rPr>
            </w:pPr>
            <w:bookmarkStart w:id="57" w:name="_Toc536610988"/>
            <w:bookmarkStart w:id="58" w:name="_Toc2949808"/>
            <w:bookmarkStart w:id="59" w:name="_Toc2952718"/>
            <w:bookmarkStart w:id="60" w:name="_Toc6830976"/>
            <w:bookmarkStart w:id="61" w:name="_Toc6852164"/>
            <w:bookmarkStart w:id="62" w:name="_Toc7697492"/>
            <w:bookmarkStart w:id="63" w:name="_Toc7698263"/>
            <w:bookmarkStart w:id="64" w:name="_Toc7705107"/>
            <w:bookmarkStart w:id="65" w:name="_Toc7705578"/>
            <w:bookmarkStart w:id="66" w:name="_Toc7706094"/>
            <w:bookmarkStart w:id="67" w:name="_Toc7779483"/>
            <w:bookmarkStart w:id="68" w:name="_Toc10196745"/>
            <w:bookmarkStart w:id="69" w:name="_Toc10196872"/>
            <w:bookmarkStart w:id="70" w:name="_Toc10619764"/>
            <w:r w:rsidRPr="00923D98">
              <w:rPr>
                <w:rFonts w:asciiTheme="minorHAnsi" w:hAnsiTheme="minorHAnsi" w:cstheme="minorHAnsi"/>
                <w:b/>
              </w:rPr>
              <w:t xml:space="preserve">Rok </w:t>
            </w:r>
            <w:bookmarkEnd w:id="57"/>
            <w:r w:rsidRPr="00923D98">
              <w:rPr>
                <w:rFonts w:asciiTheme="minorHAnsi" w:hAnsiTheme="minorHAnsi" w:cstheme="minorHAnsi"/>
                <w:b/>
              </w:rPr>
              <w:t xml:space="preserve">zpracování </w:t>
            </w:r>
            <w:bookmarkEnd w:id="58"/>
            <w:bookmarkEnd w:id="59"/>
            <w:bookmarkEnd w:id="60"/>
            <w:bookmarkEnd w:id="61"/>
            <w:bookmarkEnd w:id="62"/>
            <w:bookmarkEnd w:id="63"/>
            <w:bookmarkEnd w:id="64"/>
            <w:bookmarkEnd w:id="65"/>
            <w:bookmarkEnd w:id="66"/>
            <w:bookmarkEnd w:id="67"/>
            <w:bookmarkEnd w:id="68"/>
            <w:bookmarkEnd w:id="69"/>
            <w:bookmarkEnd w:id="70"/>
            <w:r w:rsidRPr="00923D98">
              <w:rPr>
                <w:rFonts w:asciiTheme="minorHAnsi" w:hAnsiTheme="minorHAnsi" w:cstheme="minorHAnsi"/>
                <w:b/>
              </w:rPr>
              <w:t xml:space="preserve">implementačního plánu </w:t>
            </w:r>
          </w:p>
        </w:tc>
        <w:tc>
          <w:tcPr>
            <w:tcW w:w="6932" w:type="dxa"/>
            <w:shd w:val="clear" w:color="auto" w:fill="auto"/>
            <w:tcMar>
              <w:left w:w="88" w:type="dxa"/>
            </w:tcMar>
            <w:vAlign w:val="center"/>
          </w:tcPr>
          <w:p w:rsidR="00187463" w:rsidRPr="00923D98" w:rsidP="006C6A55" w14:paraId="29CF3FF3" w14:textId="2925D612">
            <w:pPr>
              <w:keepNext/>
              <w:keepLines/>
              <w:tabs>
                <w:tab w:val="left" w:pos="1843"/>
              </w:tabs>
              <w:spacing w:after="120"/>
              <w:ind w:left="357" w:hanging="357"/>
              <w:rPr>
                <w:rFonts w:asciiTheme="minorHAnsi" w:hAnsiTheme="minorHAnsi" w:cstheme="minorHAnsi"/>
              </w:rPr>
            </w:pPr>
            <w:r w:rsidRPr="00923D98">
              <w:rPr>
                <w:rFonts w:asciiTheme="minorHAnsi" w:hAnsiTheme="minorHAnsi" w:cstheme="minorHAnsi"/>
              </w:rPr>
              <w:t>2024-2025</w:t>
            </w:r>
          </w:p>
        </w:tc>
      </w:tr>
      <w:tr w14:paraId="75CB12C2"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923D98" w:rsidP="006C6A55" w14:paraId="1EF1E21D" w14:textId="77777777">
            <w:pPr>
              <w:keepNext/>
              <w:keepLines/>
              <w:tabs>
                <w:tab w:val="left" w:pos="1843"/>
              </w:tabs>
              <w:spacing w:before="80" w:after="80"/>
              <w:rPr>
                <w:rFonts w:asciiTheme="minorHAnsi" w:hAnsiTheme="minorHAnsi" w:cstheme="minorHAnsi"/>
                <w:b/>
              </w:rPr>
            </w:pPr>
            <w:bookmarkStart w:id="71" w:name="_Toc536610990"/>
            <w:bookmarkStart w:id="72" w:name="_Toc2949810"/>
            <w:bookmarkStart w:id="73" w:name="_Toc2952720"/>
            <w:bookmarkStart w:id="74" w:name="_Toc6830978"/>
            <w:bookmarkStart w:id="75" w:name="_Toc6852166"/>
            <w:bookmarkStart w:id="76" w:name="_Toc7697494"/>
            <w:bookmarkStart w:id="77" w:name="_Toc7698265"/>
            <w:bookmarkStart w:id="78" w:name="_Toc7705109"/>
            <w:bookmarkStart w:id="79" w:name="_Toc7705580"/>
            <w:bookmarkStart w:id="80" w:name="_Toc7706096"/>
            <w:bookmarkStart w:id="81" w:name="_Toc7779485"/>
            <w:bookmarkStart w:id="82" w:name="_Toc10196747"/>
            <w:bookmarkStart w:id="83" w:name="_Toc10196874"/>
            <w:bookmarkStart w:id="84" w:name="_Toc10619766"/>
            <w:r w:rsidRPr="00923D98">
              <w:rPr>
                <w:rFonts w:asciiTheme="minorHAnsi" w:hAnsiTheme="minorHAnsi" w:cstheme="minorHAnsi"/>
                <w:b/>
              </w:rPr>
              <w:t xml:space="preserve">Schvalovatel </w:t>
            </w:r>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923D98">
              <w:rPr>
                <w:rFonts w:asciiTheme="minorHAnsi" w:hAnsiTheme="minorHAnsi" w:cstheme="minorHAnsi"/>
                <w:b/>
              </w:rPr>
              <w:t xml:space="preserve">implementačního plánu </w:t>
            </w:r>
          </w:p>
        </w:tc>
        <w:tc>
          <w:tcPr>
            <w:tcW w:w="6932" w:type="dxa"/>
            <w:shd w:val="clear" w:color="auto" w:fill="auto"/>
            <w:tcMar>
              <w:left w:w="88" w:type="dxa"/>
            </w:tcMar>
            <w:vAlign w:val="center"/>
          </w:tcPr>
          <w:p w:rsidR="006C6A55" w:rsidRPr="00923D98" w:rsidP="006C6A55" w14:paraId="407C2603" w14:textId="77777777">
            <w:pPr>
              <w:keepNext/>
              <w:keepLines/>
              <w:tabs>
                <w:tab w:val="left" w:pos="1843"/>
              </w:tabs>
              <w:spacing w:after="120"/>
              <w:ind w:left="357" w:hanging="357"/>
              <w:rPr>
                <w:rFonts w:asciiTheme="minorHAnsi" w:hAnsiTheme="minorHAnsi" w:cstheme="minorHAnsi"/>
              </w:rPr>
            </w:pPr>
            <w:bookmarkStart w:id="85" w:name="_Toc536610991"/>
            <w:bookmarkStart w:id="86" w:name="_Toc2949811"/>
            <w:bookmarkStart w:id="87" w:name="_Toc2952721"/>
            <w:bookmarkStart w:id="88" w:name="_Toc6830979"/>
            <w:bookmarkStart w:id="89" w:name="_Toc6852167"/>
            <w:bookmarkStart w:id="90" w:name="_Toc7697495"/>
            <w:bookmarkStart w:id="91" w:name="_Toc7698266"/>
            <w:bookmarkStart w:id="92" w:name="_Toc7705110"/>
            <w:bookmarkStart w:id="93" w:name="_Toc7705581"/>
            <w:bookmarkStart w:id="94" w:name="_Toc7706097"/>
            <w:bookmarkStart w:id="95" w:name="_Toc7779486"/>
            <w:bookmarkStart w:id="96" w:name="_Toc10196748"/>
            <w:bookmarkStart w:id="97" w:name="_Toc10196875"/>
            <w:bookmarkStart w:id="98" w:name="_Toc10619767"/>
            <w:r w:rsidRPr="00923D98">
              <w:rPr>
                <w:rFonts w:asciiTheme="minorHAnsi" w:hAnsiTheme="minorHAnsi" w:cstheme="minorHAnsi"/>
              </w:rPr>
              <w:t>vláda České republiky</w:t>
            </w:r>
            <w:bookmarkEnd w:id="85"/>
            <w:bookmarkEnd w:id="86"/>
            <w:bookmarkEnd w:id="87"/>
            <w:bookmarkEnd w:id="88"/>
            <w:bookmarkEnd w:id="89"/>
            <w:bookmarkEnd w:id="90"/>
            <w:bookmarkEnd w:id="91"/>
            <w:bookmarkEnd w:id="92"/>
            <w:bookmarkEnd w:id="93"/>
            <w:bookmarkEnd w:id="94"/>
            <w:bookmarkEnd w:id="95"/>
            <w:bookmarkEnd w:id="96"/>
            <w:bookmarkEnd w:id="97"/>
            <w:bookmarkEnd w:id="98"/>
          </w:p>
        </w:tc>
      </w:tr>
      <w:tr w14:paraId="42DD6C0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923D98" w:rsidP="006C6A55" w14:paraId="0A9B9C3C" w14:textId="77777777">
            <w:pPr>
              <w:keepNext/>
              <w:keepLines/>
              <w:tabs>
                <w:tab w:val="left" w:pos="1843"/>
              </w:tabs>
              <w:spacing w:before="80" w:after="80"/>
              <w:ind w:left="357" w:hanging="357"/>
              <w:rPr>
                <w:rFonts w:asciiTheme="minorHAnsi" w:hAnsiTheme="minorHAnsi" w:cstheme="minorHAnsi"/>
                <w:b/>
              </w:rPr>
            </w:pPr>
            <w:bookmarkStart w:id="99" w:name="_Toc536610992"/>
            <w:bookmarkStart w:id="100" w:name="_Toc2949812"/>
            <w:bookmarkStart w:id="101" w:name="_Toc2952722"/>
            <w:bookmarkStart w:id="102" w:name="_Toc6830980"/>
            <w:bookmarkStart w:id="103" w:name="_Toc6852168"/>
            <w:bookmarkStart w:id="104" w:name="_Toc7697496"/>
            <w:bookmarkStart w:id="105" w:name="_Toc7698267"/>
            <w:bookmarkStart w:id="106" w:name="_Toc7705111"/>
            <w:bookmarkStart w:id="107" w:name="_Toc7705582"/>
            <w:bookmarkStart w:id="108" w:name="_Toc7706098"/>
            <w:bookmarkStart w:id="109" w:name="_Toc7779487"/>
            <w:bookmarkStart w:id="110" w:name="_Toc10196749"/>
            <w:bookmarkStart w:id="111" w:name="_Toc10196876"/>
            <w:bookmarkStart w:id="112" w:name="_Toc10619768"/>
            <w:r w:rsidRPr="00923D98">
              <w:rPr>
                <w:rFonts w:asciiTheme="minorHAnsi" w:hAnsiTheme="minorHAnsi" w:cstheme="minorHAnsi"/>
                <w:b/>
              </w:rPr>
              <w:t>Datum schválení</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6932" w:type="dxa"/>
            <w:shd w:val="clear" w:color="auto" w:fill="auto"/>
            <w:tcMar>
              <w:left w:w="88" w:type="dxa"/>
            </w:tcMar>
            <w:vAlign w:val="center"/>
          </w:tcPr>
          <w:p w:rsidR="006C6A55" w:rsidRPr="00923D98" w:rsidP="006C6A55" w14:paraId="0EC551BD" w14:textId="77777777">
            <w:pPr>
              <w:keepNext/>
              <w:spacing w:after="120"/>
              <w:rPr>
                <w:rFonts w:asciiTheme="minorHAnsi" w:hAnsiTheme="minorHAnsi" w:cstheme="minorHAnsi"/>
              </w:rPr>
            </w:pPr>
          </w:p>
        </w:tc>
      </w:tr>
      <w:tr w14:paraId="76FB100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923D98" w:rsidP="006C6A55" w14:paraId="4385C3AC" w14:textId="77777777">
            <w:pPr>
              <w:keepNext/>
              <w:keepLines/>
              <w:tabs>
                <w:tab w:val="left" w:pos="1843"/>
              </w:tabs>
              <w:spacing w:before="80" w:after="80"/>
              <w:ind w:left="357" w:hanging="357"/>
              <w:rPr>
                <w:rFonts w:asciiTheme="minorHAnsi" w:hAnsiTheme="minorHAnsi" w:cstheme="minorHAnsi"/>
                <w:b/>
              </w:rPr>
            </w:pPr>
            <w:bookmarkStart w:id="113" w:name="_Toc536610993"/>
            <w:bookmarkStart w:id="114" w:name="_Toc2949813"/>
            <w:bookmarkStart w:id="115" w:name="_Toc2952723"/>
            <w:bookmarkStart w:id="116" w:name="_Toc6830981"/>
            <w:bookmarkStart w:id="117" w:name="_Toc6852169"/>
            <w:bookmarkStart w:id="118" w:name="_Toc7697497"/>
            <w:bookmarkStart w:id="119" w:name="_Toc7698268"/>
            <w:bookmarkStart w:id="120" w:name="_Toc7705112"/>
            <w:bookmarkStart w:id="121" w:name="_Toc7705583"/>
            <w:bookmarkStart w:id="122" w:name="_Toc7706099"/>
            <w:bookmarkStart w:id="123" w:name="_Toc7779488"/>
            <w:bookmarkStart w:id="124" w:name="_Toc10196750"/>
            <w:bookmarkStart w:id="125" w:name="_Toc10196877"/>
            <w:bookmarkStart w:id="126" w:name="_Toc10619769"/>
            <w:r w:rsidRPr="00923D98">
              <w:rPr>
                <w:rFonts w:asciiTheme="minorHAnsi" w:hAnsiTheme="minorHAnsi" w:cstheme="minorHAnsi"/>
                <w:b/>
              </w:rPr>
              <w:t>Forma schválení</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tc>
        <w:tc>
          <w:tcPr>
            <w:tcW w:w="6932" w:type="dxa"/>
            <w:shd w:val="clear" w:color="auto" w:fill="auto"/>
            <w:tcMar>
              <w:left w:w="88" w:type="dxa"/>
            </w:tcMar>
            <w:vAlign w:val="center"/>
          </w:tcPr>
          <w:p w:rsidR="006C6A55" w:rsidRPr="00923D98" w:rsidP="006C6A55" w14:paraId="7DB07EBD" w14:textId="77777777">
            <w:pPr>
              <w:keepNext/>
              <w:keepLines/>
              <w:tabs>
                <w:tab w:val="left" w:pos="1843"/>
              </w:tabs>
              <w:spacing w:after="120"/>
              <w:ind w:left="357" w:hanging="357"/>
              <w:rPr>
                <w:rFonts w:asciiTheme="minorHAnsi" w:hAnsiTheme="minorHAnsi" w:cstheme="minorHAnsi"/>
              </w:rPr>
            </w:pPr>
            <w:bookmarkStart w:id="127" w:name="_Toc2949814"/>
            <w:bookmarkStart w:id="128" w:name="_Toc2952724"/>
            <w:bookmarkStart w:id="129" w:name="_Toc6830982"/>
            <w:bookmarkStart w:id="130" w:name="_Toc6852170"/>
            <w:bookmarkStart w:id="131" w:name="_Toc7697498"/>
            <w:bookmarkStart w:id="132" w:name="_Toc7698269"/>
            <w:bookmarkStart w:id="133" w:name="_Toc7705113"/>
            <w:bookmarkStart w:id="134" w:name="_Toc7705584"/>
            <w:bookmarkStart w:id="135" w:name="_Toc7706100"/>
            <w:bookmarkStart w:id="136" w:name="_Toc7779489"/>
            <w:bookmarkStart w:id="137" w:name="_Toc10196751"/>
            <w:bookmarkStart w:id="138" w:name="_Toc10196878"/>
            <w:bookmarkStart w:id="139" w:name="_Toc10619770"/>
            <w:r w:rsidRPr="00923D98">
              <w:rPr>
                <w:rFonts w:asciiTheme="minorHAnsi" w:hAnsiTheme="minorHAnsi" w:cstheme="minorHAnsi"/>
              </w:rPr>
              <w:t>usnesení vlády České republiky</w:t>
            </w:r>
            <w:bookmarkEnd w:id="127"/>
            <w:bookmarkEnd w:id="128"/>
            <w:bookmarkEnd w:id="129"/>
            <w:bookmarkEnd w:id="130"/>
            <w:bookmarkEnd w:id="131"/>
            <w:bookmarkEnd w:id="132"/>
            <w:bookmarkEnd w:id="133"/>
            <w:bookmarkEnd w:id="134"/>
            <w:bookmarkEnd w:id="135"/>
            <w:bookmarkEnd w:id="136"/>
            <w:bookmarkEnd w:id="137"/>
            <w:bookmarkEnd w:id="138"/>
            <w:bookmarkEnd w:id="139"/>
            <w:r w:rsidRPr="00923D98">
              <w:rPr>
                <w:rFonts w:asciiTheme="minorHAnsi" w:hAnsiTheme="minorHAnsi" w:cstheme="minorHAnsi"/>
              </w:rPr>
              <w:t xml:space="preserve"> č.   </w:t>
            </w:r>
          </w:p>
        </w:tc>
      </w:tr>
      <w:tr w14:paraId="17C4B1C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923D98" w:rsidP="006C6A55" w14:paraId="18A2774C" w14:textId="77777777">
            <w:pPr>
              <w:keepNext/>
              <w:keepLines/>
              <w:tabs>
                <w:tab w:val="left" w:pos="1843"/>
              </w:tabs>
              <w:spacing w:before="80" w:after="80"/>
              <w:ind w:left="357" w:hanging="357"/>
              <w:rPr>
                <w:rFonts w:asciiTheme="minorHAnsi" w:hAnsiTheme="minorHAnsi" w:cstheme="minorHAnsi"/>
                <w:b/>
              </w:rPr>
            </w:pPr>
            <w:bookmarkStart w:id="140" w:name="_Toc536610995"/>
            <w:bookmarkStart w:id="141" w:name="_Toc2949815"/>
            <w:bookmarkStart w:id="142" w:name="_Toc2952725"/>
            <w:bookmarkStart w:id="143" w:name="_Toc6830983"/>
            <w:bookmarkStart w:id="144" w:name="_Toc6852171"/>
            <w:bookmarkStart w:id="145" w:name="_Toc7697499"/>
            <w:bookmarkStart w:id="146" w:name="_Toc7698270"/>
            <w:bookmarkStart w:id="147" w:name="_Toc7705114"/>
            <w:bookmarkStart w:id="148" w:name="_Toc7705585"/>
            <w:bookmarkStart w:id="149" w:name="_Toc7706101"/>
            <w:bookmarkStart w:id="150" w:name="_Toc7779490"/>
            <w:bookmarkStart w:id="151" w:name="_Toc10196752"/>
            <w:bookmarkStart w:id="152" w:name="_Toc10196879"/>
            <w:bookmarkStart w:id="153" w:name="_Toc10619771"/>
            <w:r w:rsidRPr="00923D98">
              <w:rPr>
                <w:rFonts w:asciiTheme="minorHAnsi" w:hAnsiTheme="minorHAnsi" w:cstheme="minorHAnsi"/>
                <w:b/>
              </w:rPr>
              <w:t>Poslední aktualizace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tc>
        <w:tc>
          <w:tcPr>
            <w:tcW w:w="6932" w:type="dxa"/>
            <w:shd w:val="clear" w:color="auto" w:fill="auto"/>
            <w:tcMar>
              <w:left w:w="88" w:type="dxa"/>
            </w:tcMar>
            <w:vAlign w:val="center"/>
          </w:tcPr>
          <w:p w:rsidR="006C6A55" w:rsidRPr="00923D98" w:rsidP="006C6A55" w14:paraId="2BC74C3E" w14:textId="73BBB663">
            <w:pPr>
              <w:keepNext/>
              <w:spacing w:after="120"/>
              <w:rPr>
                <w:rFonts w:asciiTheme="minorHAnsi" w:hAnsiTheme="minorHAnsi" w:cstheme="minorHAnsi"/>
              </w:rPr>
            </w:pPr>
            <w:r w:rsidRPr="00923D98">
              <w:rPr>
                <w:rFonts w:asciiTheme="minorHAnsi" w:hAnsiTheme="minorHAnsi" w:cstheme="minorHAnsi"/>
              </w:rPr>
              <w:t>202</w:t>
            </w:r>
            <w:r w:rsidRPr="00923D98" w:rsidR="00187463">
              <w:rPr>
                <w:rFonts w:asciiTheme="minorHAnsi" w:hAnsiTheme="minorHAnsi" w:cstheme="minorHAnsi"/>
              </w:rPr>
              <w:t>5</w:t>
            </w:r>
          </w:p>
        </w:tc>
      </w:tr>
      <w:tr w14:paraId="16FC786A"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923D98" w:rsidP="006C6A55" w14:paraId="6FE3FAAC" w14:textId="77777777">
            <w:pPr>
              <w:keepNext/>
              <w:keepLines/>
              <w:tabs>
                <w:tab w:val="left" w:pos="1843"/>
              </w:tabs>
              <w:spacing w:before="80" w:after="80"/>
              <w:ind w:left="357" w:hanging="357"/>
              <w:rPr>
                <w:rFonts w:asciiTheme="minorHAnsi" w:hAnsiTheme="minorHAnsi" w:cstheme="minorHAnsi"/>
                <w:b/>
              </w:rPr>
            </w:pPr>
            <w:bookmarkStart w:id="154" w:name="_Toc536610998"/>
            <w:bookmarkStart w:id="155" w:name="_Toc2949817"/>
            <w:bookmarkStart w:id="156" w:name="_Toc2952727"/>
            <w:bookmarkStart w:id="157" w:name="_Toc6830985"/>
            <w:bookmarkStart w:id="158" w:name="_Toc6852173"/>
            <w:bookmarkStart w:id="159" w:name="_Toc7697501"/>
            <w:bookmarkStart w:id="160" w:name="_Toc7698272"/>
            <w:bookmarkStart w:id="161" w:name="_Toc7705116"/>
            <w:bookmarkStart w:id="162" w:name="_Toc7705587"/>
            <w:bookmarkStart w:id="163" w:name="_Toc7706103"/>
            <w:bookmarkStart w:id="164" w:name="_Toc7779492"/>
            <w:bookmarkStart w:id="165" w:name="_Toc10196754"/>
            <w:bookmarkStart w:id="166" w:name="_Toc10196881"/>
            <w:bookmarkStart w:id="167" w:name="_Toc10619773"/>
            <w:r w:rsidRPr="00923D98">
              <w:rPr>
                <w:rFonts w:asciiTheme="minorHAnsi" w:hAnsiTheme="minorHAnsi" w:cstheme="minorHAnsi"/>
                <w:b/>
              </w:rPr>
              <w:t>Doba realizace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tc>
        <w:tc>
          <w:tcPr>
            <w:tcW w:w="6932" w:type="dxa"/>
            <w:shd w:val="clear" w:color="auto" w:fill="auto"/>
            <w:tcMar>
              <w:left w:w="88" w:type="dxa"/>
            </w:tcMar>
            <w:vAlign w:val="center"/>
          </w:tcPr>
          <w:p w:rsidR="006C6A55" w:rsidRPr="00923D98" w:rsidP="006C6A55" w14:paraId="18149638" w14:textId="77777777">
            <w:pPr>
              <w:keepNext/>
              <w:keepLines/>
              <w:tabs>
                <w:tab w:val="left" w:pos="1843"/>
              </w:tabs>
              <w:spacing w:after="120"/>
              <w:rPr>
                <w:rFonts w:asciiTheme="minorHAnsi" w:hAnsiTheme="minorHAnsi" w:cstheme="minorHAnsi"/>
              </w:rPr>
            </w:pPr>
          </w:p>
          <w:p w:rsidR="006C6A55" w:rsidRPr="00923D98" w:rsidP="006C6A55" w14:paraId="68D38E06" w14:textId="678A7A21">
            <w:pPr>
              <w:keepNext/>
              <w:spacing w:after="120"/>
              <w:rPr>
                <w:rFonts w:asciiTheme="minorHAnsi" w:hAnsiTheme="minorHAnsi" w:cstheme="minorHAnsi"/>
              </w:rPr>
            </w:pPr>
            <w:r w:rsidRPr="00923D98">
              <w:rPr>
                <w:rFonts w:asciiTheme="minorHAnsi" w:hAnsiTheme="minorHAnsi" w:cstheme="minorHAnsi"/>
              </w:rPr>
              <w:t>202</w:t>
            </w:r>
            <w:r w:rsidRPr="00923D98" w:rsidR="004569B2">
              <w:rPr>
                <w:rFonts w:asciiTheme="minorHAnsi" w:hAnsiTheme="minorHAnsi" w:cstheme="minorHAnsi"/>
              </w:rPr>
              <w:t>5</w:t>
            </w:r>
            <w:r w:rsidRPr="00923D98">
              <w:rPr>
                <w:rFonts w:asciiTheme="minorHAnsi" w:hAnsiTheme="minorHAnsi" w:cstheme="minorHAnsi"/>
              </w:rPr>
              <w:t>–203</w:t>
            </w:r>
            <w:r w:rsidRPr="00923D98" w:rsidR="00204B9C">
              <w:rPr>
                <w:rFonts w:asciiTheme="minorHAnsi" w:hAnsiTheme="minorHAnsi" w:cstheme="minorHAnsi"/>
              </w:rPr>
              <w:t>5</w:t>
            </w:r>
            <w:r w:rsidRPr="00923D98">
              <w:rPr>
                <w:rFonts w:asciiTheme="minorHAnsi" w:hAnsiTheme="minorHAnsi" w:cstheme="minorHAnsi"/>
              </w:rPr>
              <w:t xml:space="preserve"> </w:t>
            </w:r>
          </w:p>
        </w:tc>
      </w:tr>
      <w:tr w14:paraId="78419EC4"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6C6A55" w:rsidRPr="00923D98" w:rsidP="006C6A55" w14:paraId="6EA43420" w14:textId="77777777">
            <w:pPr>
              <w:keepNext/>
              <w:keepLines/>
              <w:tabs>
                <w:tab w:val="left" w:pos="1843"/>
              </w:tabs>
              <w:spacing w:before="80" w:after="80"/>
              <w:ind w:left="357" w:hanging="357"/>
              <w:rPr>
                <w:rFonts w:asciiTheme="minorHAnsi" w:hAnsiTheme="minorHAnsi" w:cstheme="minorHAnsi"/>
                <w:b/>
              </w:rPr>
            </w:pPr>
            <w:bookmarkStart w:id="168" w:name="_Toc536611000"/>
            <w:bookmarkStart w:id="169" w:name="_Toc2949818"/>
            <w:bookmarkStart w:id="170" w:name="_Toc2952728"/>
            <w:bookmarkStart w:id="171" w:name="_Toc6830986"/>
            <w:bookmarkStart w:id="172" w:name="_Toc6852174"/>
            <w:bookmarkStart w:id="173" w:name="_Toc7697502"/>
            <w:bookmarkStart w:id="174" w:name="_Toc7698273"/>
            <w:bookmarkStart w:id="175" w:name="_Toc7705117"/>
            <w:bookmarkStart w:id="176" w:name="_Toc7705588"/>
            <w:bookmarkStart w:id="177" w:name="_Toc7706104"/>
            <w:bookmarkStart w:id="178" w:name="_Toc7779493"/>
            <w:bookmarkStart w:id="179" w:name="_Toc10196755"/>
            <w:bookmarkStart w:id="180" w:name="_Toc10196882"/>
            <w:bookmarkStart w:id="181" w:name="_Toc10619774"/>
            <w:r w:rsidRPr="00923D98">
              <w:rPr>
                <w:rFonts w:asciiTheme="minorHAnsi" w:hAnsiTheme="minorHAnsi" w:cstheme="minorHAnsi"/>
                <w:b/>
              </w:rPr>
              <w:t>Odpovědnost za implementaci</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tc>
        <w:tc>
          <w:tcPr>
            <w:tcW w:w="6932" w:type="dxa"/>
            <w:shd w:val="clear" w:color="auto" w:fill="auto"/>
            <w:tcMar>
              <w:left w:w="88" w:type="dxa"/>
            </w:tcMar>
            <w:vAlign w:val="center"/>
          </w:tcPr>
          <w:p w:rsidR="006C6A55" w:rsidRPr="00923D98" w:rsidP="006C6A55" w14:paraId="2C70A39E" w14:textId="77777777">
            <w:pPr>
              <w:keepNext/>
              <w:keepLines/>
              <w:tabs>
                <w:tab w:val="left" w:pos="1843"/>
              </w:tabs>
              <w:spacing w:after="120"/>
              <w:ind w:left="357" w:hanging="357"/>
              <w:rPr>
                <w:rFonts w:asciiTheme="minorHAnsi" w:hAnsiTheme="minorHAnsi" w:cstheme="minorHAnsi"/>
              </w:rPr>
            </w:pPr>
            <w:bookmarkStart w:id="182" w:name="_Toc536611001"/>
            <w:bookmarkStart w:id="183" w:name="_Toc2949819"/>
            <w:bookmarkStart w:id="184" w:name="_Toc2952729"/>
            <w:bookmarkStart w:id="185" w:name="_Toc6830987"/>
            <w:bookmarkStart w:id="186" w:name="_Toc6852175"/>
            <w:bookmarkStart w:id="187" w:name="_Toc7697503"/>
            <w:bookmarkStart w:id="188" w:name="_Toc7698274"/>
            <w:bookmarkStart w:id="189" w:name="_Toc7705118"/>
            <w:bookmarkStart w:id="190" w:name="_Toc7705589"/>
            <w:bookmarkStart w:id="191" w:name="_Toc7706105"/>
            <w:bookmarkStart w:id="192" w:name="_Toc7779494"/>
            <w:bookmarkStart w:id="193" w:name="_Toc10196756"/>
            <w:bookmarkStart w:id="194" w:name="_Toc10196883"/>
            <w:bookmarkStart w:id="195" w:name="_Toc10619775"/>
            <w:r w:rsidRPr="00923D98">
              <w:rPr>
                <w:rFonts w:asciiTheme="minorHAnsi" w:hAnsiTheme="minorHAnsi" w:cstheme="minorHAnsi"/>
              </w:rPr>
              <w:t>Ministerstvo zdravotnictví České republiky</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tc>
      </w:tr>
      <w:tr w14:paraId="5C56A673"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6C6A55" w:rsidRPr="00923D98" w:rsidP="006C6A55" w14:paraId="0874B227" w14:textId="77777777">
            <w:pPr>
              <w:keepNext/>
              <w:keepLines/>
              <w:tabs>
                <w:tab w:val="left" w:pos="1843"/>
              </w:tabs>
              <w:spacing w:before="80" w:after="80"/>
              <w:rPr>
                <w:rFonts w:asciiTheme="minorHAnsi" w:hAnsiTheme="minorHAnsi" w:cstheme="minorHAnsi"/>
                <w:b/>
              </w:rPr>
            </w:pPr>
            <w:bookmarkStart w:id="196" w:name="_Toc2949820"/>
            <w:bookmarkStart w:id="197" w:name="_Toc2952730"/>
            <w:bookmarkStart w:id="198" w:name="_Toc6830988"/>
            <w:bookmarkStart w:id="199" w:name="_Toc6852176"/>
            <w:bookmarkStart w:id="200" w:name="_Toc7697504"/>
            <w:bookmarkStart w:id="201" w:name="_Toc7698275"/>
            <w:bookmarkStart w:id="202" w:name="_Toc7705119"/>
            <w:bookmarkStart w:id="203" w:name="_Toc7705590"/>
            <w:bookmarkStart w:id="204" w:name="_Toc7706106"/>
            <w:bookmarkStart w:id="205" w:name="_Toc7779495"/>
            <w:bookmarkStart w:id="206" w:name="_Toc10196757"/>
            <w:bookmarkStart w:id="207" w:name="_Toc10196884"/>
            <w:bookmarkStart w:id="208" w:name="_Toc10619776"/>
            <w:r w:rsidRPr="00923D98">
              <w:rPr>
                <w:rFonts w:asciiTheme="minorHAnsi" w:hAnsiTheme="minorHAnsi" w:cstheme="minorHAnsi"/>
                <w:b/>
              </w:rPr>
              <w:t xml:space="preserve">Kontext vzniku </w:t>
            </w:r>
            <w:bookmarkEnd w:id="196"/>
            <w:bookmarkEnd w:id="197"/>
            <w:bookmarkEnd w:id="198"/>
            <w:bookmarkEnd w:id="199"/>
            <w:bookmarkEnd w:id="200"/>
            <w:bookmarkEnd w:id="201"/>
            <w:bookmarkEnd w:id="202"/>
            <w:bookmarkEnd w:id="203"/>
            <w:bookmarkEnd w:id="204"/>
            <w:bookmarkEnd w:id="205"/>
            <w:bookmarkEnd w:id="206"/>
            <w:bookmarkEnd w:id="207"/>
            <w:bookmarkEnd w:id="208"/>
            <w:r w:rsidRPr="00923D98">
              <w:rPr>
                <w:rFonts w:asciiTheme="minorHAnsi" w:hAnsiTheme="minorHAnsi" w:cstheme="minorHAnsi"/>
                <w:b/>
              </w:rPr>
              <w:t xml:space="preserve">implementačního plánu </w:t>
            </w:r>
          </w:p>
        </w:tc>
        <w:tc>
          <w:tcPr>
            <w:tcW w:w="6932" w:type="dxa"/>
            <w:shd w:val="clear" w:color="auto" w:fill="auto"/>
            <w:tcMar>
              <w:left w:w="88" w:type="dxa"/>
            </w:tcMar>
            <w:vAlign w:val="center"/>
          </w:tcPr>
          <w:p w:rsidR="00E45BC0" w:rsidRPr="00923D98" w:rsidP="006C6A55" w14:paraId="7FE339D6" w14:textId="49087E84">
            <w:pPr>
              <w:pStyle w:val="Bntext"/>
              <w:spacing w:before="0" w:line="240" w:lineRule="auto"/>
              <w:ind w:firstLine="0"/>
              <w:rPr>
                <w:rFonts w:asciiTheme="minorHAnsi" w:hAnsiTheme="minorHAnsi" w:cstheme="minorHAnsi"/>
                <w:lang w:val="cs-CZ"/>
              </w:rPr>
            </w:pPr>
            <w:r w:rsidRPr="00923D98">
              <w:rPr>
                <w:rFonts w:asciiTheme="minorHAnsi" w:hAnsiTheme="minorHAnsi" w:cstheme="minorHAnsi"/>
                <w:lang w:val="cs-CZ"/>
              </w:rPr>
              <w:t xml:space="preserve">Implementační plán je hlavní prováděcí dokument specifického cíle </w:t>
            </w:r>
            <w:r w:rsidRPr="00923D98" w:rsidR="0088523F">
              <w:rPr>
                <w:rFonts w:asciiTheme="minorHAnsi" w:hAnsiTheme="minorHAnsi" w:cstheme="minorHAnsi"/>
                <w:lang w:val="cs-CZ"/>
              </w:rPr>
              <w:t>1.</w:t>
            </w:r>
            <w:r w:rsidRPr="00923D98" w:rsidR="004569B2">
              <w:rPr>
                <w:rFonts w:asciiTheme="minorHAnsi" w:hAnsiTheme="minorHAnsi" w:cstheme="minorHAnsi"/>
                <w:lang w:val="cs-CZ"/>
              </w:rPr>
              <w:t>3</w:t>
            </w:r>
            <w:r w:rsidRPr="00923D98" w:rsidR="0088523F">
              <w:rPr>
                <w:rFonts w:asciiTheme="minorHAnsi" w:hAnsiTheme="minorHAnsi" w:cstheme="minorHAnsi"/>
                <w:lang w:val="cs-CZ"/>
              </w:rPr>
              <w:t xml:space="preserve"> </w:t>
            </w:r>
            <w:r w:rsidRPr="00923D98" w:rsidR="00606A28">
              <w:rPr>
                <w:rFonts w:asciiTheme="minorHAnsi" w:hAnsiTheme="minorHAnsi" w:cstheme="minorHAnsi"/>
                <w:lang w:val="cs-CZ"/>
              </w:rPr>
              <w:t>„Léková politika a zvýšení dostupnosti léčiv“</w:t>
            </w:r>
            <w:r w:rsidRPr="00923D98" w:rsidR="00C7316D">
              <w:rPr>
                <w:rFonts w:asciiTheme="minorHAnsi" w:hAnsiTheme="minorHAnsi" w:cstheme="minorHAnsi"/>
                <w:lang w:val="cs-CZ"/>
              </w:rPr>
              <w:t xml:space="preserve"> </w:t>
            </w:r>
            <w:r w:rsidRPr="00923D98">
              <w:rPr>
                <w:rFonts w:asciiTheme="minorHAnsi" w:hAnsiTheme="minorHAnsi" w:cstheme="minorHAnsi"/>
                <w:lang w:val="cs-CZ"/>
              </w:rPr>
              <w:t>Strategického rámce rozvoje péče o zdraví v České republice do roku 203</w:t>
            </w:r>
            <w:r w:rsidRPr="00923D98" w:rsidR="007E315E">
              <w:rPr>
                <w:rFonts w:asciiTheme="minorHAnsi" w:hAnsiTheme="minorHAnsi" w:cstheme="minorHAnsi"/>
                <w:lang w:val="cs-CZ"/>
              </w:rPr>
              <w:t>5</w:t>
            </w:r>
            <w:r w:rsidRPr="00923D98">
              <w:rPr>
                <w:rFonts w:asciiTheme="minorHAnsi" w:hAnsiTheme="minorHAnsi" w:cstheme="minorHAnsi"/>
                <w:lang w:val="cs-CZ"/>
              </w:rPr>
              <w:t>(dále jen „Strategický rámec Zdraví 203</w:t>
            </w:r>
            <w:r w:rsidRPr="00923D98" w:rsidR="007E315E">
              <w:rPr>
                <w:rFonts w:asciiTheme="minorHAnsi" w:hAnsiTheme="minorHAnsi" w:cstheme="minorHAnsi"/>
                <w:lang w:val="cs-CZ"/>
              </w:rPr>
              <w:t>5</w:t>
            </w:r>
            <w:r w:rsidRPr="00923D98">
              <w:rPr>
                <w:rFonts w:asciiTheme="minorHAnsi" w:hAnsiTheme="minorHAnsi" w:cstheme="minorHAnsi"/>
                <w:lang w:val="cs-CZ"/>
              </w:rPr>
              <w:t>“)</w:t>
            </w:r>
            <w:r w:rsidRPr="00923D98">
              <w:rPr>
                <w:rFonts w:asciiTheme="minorHAnsi" w:hAnsiTheme="minorHAnsi" w:cstheme="minorHAnsi"/>
                <w:lang w:val="cs-CZ"/>
              </w:rPr>
              <w:t xml:space="preserve">, který představuje zastřešující koncepční materiál resortu zdravotnictví na dalších 10 let. </w:t>
            </w:r>
          </w:p>
          <w:p w:rsidR="00E61E2C" w:rsidP="004569B2" w14:paraId="08684565" w14:textId="77777777">
            <w:pPr>
              <w:pStyle w:val="Bntext"/>
              <w:spacing w:before="0" w:line="240" w:lineRule="auto"/>
              <w:ind w:firstLine="0"/>
              <w:rPr>
                <w:color w:val="auto"/>
                <w:lang w:val="cs-CZ"/>
              </w:rPr>
            </w:pPr>
            <w:r w:rsidRPr="00770F16">
              <w:rPr>
                <w:lang w:val="cs-CZ"/>
              </w:rPr>
              <w:t xml:space="preserve">Strategický rámec Zdraví 2030 byl dne </w:t>
            </w:r>
            <w:r w:rsidRPr="008D30D8">
              <w:rPr>
                <w:color w:val="auto"/>
                <w:lang w:val="cs-CZ"/>
              </w:rPr>
              <w:t>13. července 2020 schválen usnesením vlády č. 743</w:t>
            </w:r>
            <w:r>
              <w:rPr>
                <w:color w:val="auto"/>
                <w:lang w:val="cs-CZ"/>
              </w:rPr>
              <w:t>/20</w:t>
            </w:r>
            <w:r w:rsidRPr="008D30D8">
              <w:rPr>
                <w:color w:val="auto"/>
                <w:lang w:val="cs-CZ"/>
              </w:rPr>
              <w:t>.  Na základě interního hodnocení plnění a</w:t>
            </w:r>
            <w:r>
              <w:rPr>
                <w:color w:val="auto"/>
                <w:lang w:val="cs-CZ"/>
              </w:rPr>
              <w:t> s </w:t>
            </w:r>
            <w:r w:rsidRPr="008D30D8">
              <w:rPr>
                <w:color w:val="auto"/>
                <w:lang w:val="cs-CZ"/>
              </w:rPr>
              <w:t>ohledem na aktuální dění bylo přistoupeno k aktualizaci Strategického rámce Zdraví 2030</w:t>
            </w:r>
            <w:r>
              <w:rPr>
                <w:color w:val="auto"/>
                <w:lang w:val="cs-CZ"/>
              </w:rPr>
              <w:t xml:space="preserve"> a jeho prolongaci do roku 2035</w:t>
            </w:r>
            <w:r w:rsidRPr="008D30D8">
              <w:rPr>
                <w:color w:val="auto"/>
                <w:lang w:val="cs-CZ"/>
              </w:rPr>
              <w:t xml:space="preserve">. </w:t>
            </w:r>
            <w:r>
              <w:rPr>
                <w:color w:val="auto"/>
                <w:lang w:val="cs-CZ"/>
              </w:rPr>
              <w:t>Navrhované úpravy</w:t>
            </w:r>
            <w:r w:rsidRPr="008D30D8">
              <w:rPr>
                <w:color w:val="auto"/>
                <w:lang w:val="cs-CZ"/>
              </w:rPr>
              <w:t xml:space="preserve"> neovlivní jeho základní směřování ani soulad se Strategi</w:t>
            </w:r>
            <w:r>
              <w:rPr>
                <w:color w:val="auto"/>
                <w:lang w:val="cs-CZ"/>
              </w:rPr>
              <w:t>c</w:t>
            </w:r>
            <w:r w:rsidRPr="008D30D8">
              <w:rPr>
                <w:color w:val="auto"/>
                <w:lang w:val="cs-CZ"/>
              </w:rPr>
              <w:t>kým rámcem ČR 2030</w:t>
            </w:r>
            <w:r>
              <w:rPr>
                <w:color w:val="auto"/>
                <w:lang w:val="cs-CZ"/>
              </w:rPr>
              <w:t xml:space="preserve">, naopak jsou přidány nové priority a cíle </w:t>
            </w:r>
            <w:r w:rsidRPr="006F0F53">
              <w:rPr>
                <w:color w:val="auto"/>
                <w:lang w:val="cs-CZ"/>
              </w:rPr>
              <w:t>tak, aby bylo možné pokrýt i</w:t>
            </w:r>
            <w:r>
              <w:rPr>
                <w:color w:val="auto"/>
                <w:lang w:val="cs-CZ"/>
              </w:rPr>
              <w:t> </w:t>
            </w:r>
            <w:r w:rsidRPr="006F0F53">
              <w:rPr>
                <w:color w:val="auto"/>
                <w:lang w:val="cs-CZ"/>
              </w:rPr>
              <w:t>další oblasti, které prozatím ne</w:t>
            </w:r>
            <w:r>
              <w:rPr>
                <w:color w:val="auto"/>
                <w:lang w:val="cs-CZ"/>
              </w:rPr>
              <w:t>byly</w:t>
            </w:r>
            <w:r w:rsidRPr="006F0F53">
              <w:rPr>
                <w:color w:val="auto"/>
                <w:lang w:val="cs-CZ"/>
              </w:rPr>
              <w:t xml:space="preserve"> ve Zdraví 2030 nijak ošetřeny</w:t>
            </w:r>
            <w:r w:rsidRPr="008D30D8">
              <w:rPr>
                <w:color w:val="auto"/>
                <w:lang w:val="cs-CZ"/>
              </w:rPr>
              <w:t>.</w:t>
            </w:r>
            <w:r>
              <w:rPr>
                <w:color w:val="auto"/>
                <w:lang w:val="cs-CZ"/>
              </w:rPr>
              <w:t xml:space="preserve"> </w:t>
            </w:r>
          </w:p>
          <w:p w:rsidR="004569B2" w:rsidRPr="00923D98" w:rsidP="004569B2" w14:paraId="72BCD6DC" w14:textId="6FEA3E63">
            <w:pPr>
              <w:pStyle w:val="Bntext"/>
              <w:spacing w:before="0" w:line="240" w:lineRule="auto"/>
              <w:ind w:firstLine="0"/>
              <w:rPr>
                <w:rFonts w:asciiTheme="minorHAnsi" w:hAnsiTheme="minorHAnsi" w:cstheme="minorHAnsi"/>
                <w:color w:val="auto"/>
                <w:lang w:val="cs-CZ"/>
              </w:rPr>
            </w:pPr>
            <w:r w:rsidRPr="00923D98">
              <w:rPr>
                <w:rFonts w:asciiTheme="minorHAnsi" w:hAnsiTheme="minorHAnsi" w:cstheme="minorHAnsi"/>
                <w:color w:val="auto"/>
                <w:lang w:val="cs-CZ"/>
              </w:rPr>
              <w:t xml:space="preserve">Mezi nově zařazené specifické cíle </w:t>
            </w:r>
            <w:r w:rsidRPr="00923D98">
              <w:rPr>
                <w:rFonts w:asciiTheme="minorHAnsi" w:hAnsiTheme="minorHAnsi" w:cstheme="minorHAnsi"/>
                <w:color w:val="auto"/>
                <w:lang w:val="cs-CZ"/>
              </w:rPr>
              <w:t>patří</w:t>
            </w:r>
            <w:r w:rsidRPr="00923D98">
              <w:rPr>
                <w:rFonts w:asciiTheme="minorHAnsi" w:hAnsiTheme="minorHAnsi" w:cstheme="minorHAnsi"/>
                <w:color w:val="auto"/>
                <w:lang w:val="cs-CZ"/>
              </w:rPr>
              <w:t xml:space="preserve"> i </w:t>
            </w:r>
            <w:r w:rsidRPr="00923D98" w:rsidR="00C53DDF">
              <w:rPr>
                <w:rFonts w:asciiTheme="minorHAnsi" w:hAnsiTheme="minorHAnsi" w:cstheme="minorHAnsi"/>
                <w:color w:val="auto"/>
                <w:lang w:val="cs-CZ"/>
              </w:rPr>
              <w:t xml:space="preserve">specifický cíl 1.3 </w:t>
            </w:r>
            <w:r w:rsidRPr="00923D98" w:rsidR="00784204">
              <w:rPr>
                <w:rFonts w:asciiTheme="minorHAnsi" w:hAnsiTheme="minorHAnsi" w:cstheme="minorHAnsi"/>
                <w:color w:val="auto"/>
                <w:lang w:val="cs-CZ"/>
              </w:rPr>
              <w:t>„</w:t>
            </w:r>
            <w:r w:rsidRPr="00923D98">
              <w:rPr>
                <w:rFonts w:asciiTheme="minorHAnsi" w:hAnsiTheme="minorHAnsi" w:cstheme="minorHAnsi"/>
                <w:color w:val="auto"/>
                <w:lang w:val="cs-CZ"/>
              </w:rPr>
              <w:t>Léková politika a zvýšení dostupnosti léčiv</w:t>
            </w:r>
            <w:r w:rsidRPr="00923D98" w:rsidR="00784204">
              <w:rPr>
                <w:rFonts w:asciiTheme="minorHAnsi" w:hAnsiTheme="minorHAnsi" w:cstheme="minorHAnsi"/>
                <w:color w:val="auto"/>
                <w:lang w:val="cs-CZ"/>
              </w:rPr>
              <w:t>“</w:t>
            </w:r>
            <w:r w:rsidRPr="00923D98">
              <w:rPr>
                <w:rFonts w:asciiTheme="minorHAnsi" w:hAnsiTheme="minorHAnsi" w:cstheme="minorHAnsi"/>
                <w:color w:val="auto"/>
                <w:lang w:val="cs-CZ"/>
              </w:rPr>
              <w:t xml:space="preserve">, který </w:t>
            </w:r>
            <w:r w:rsidRPr="00923D98" w:rsidR="000E1697">
              <w:rPr>
                <w:rFonts w:asciiTheme="minorHAnsi" w:hAnsiTheme="minorHAnsi" w:cstheme="minorHAnsi"/>
                <w:color w:val="auto"/>
                <w:lang w:val="cs-CZ"/>
              </w:rPr>
              <w:t xml:space="preserve">reaguje </w:t>
            </w:r>
            <w:r w:rsidRPr="00923D98" w:rsidR="004014CB">
              <w:rPr>
                <w:rFonts w:asciiTheme="minorHAnsi" w:hAnsiTheme="minorHAnsi" w:cstheme="minorHAnsi"/>
                <w:color w:val="auto"/>
                <w:lang w:val="cs-CZ"/>
              </w:rPr>
              <w:t>změny v segmentu</w:t>
            </w:r>
            <w:r w:rsidRPr="00923D98" w:rsidR="000E1697">
              <w:rPr>
                <w:rFonts w:asciiTheme="minorHAnsi" w:hAnsiTheme="minorHAnsi" w:cstheme="minorHAnsi"/>
                <w:color w:val="auto"/>
                <w:lang w:val="cs-CZ"/>
              </w:rPr>
              <w:t xml:space="preserve">, zejména na problémy s dostupností léčivých přípravků, a současně reflektuje </w:t>
            </w:r>
            <w:r w:rsidRPr="00923D98" w:rsidR="004014CB">
              <w:rPr>
                <w:rFonts w:asciiTheme="minorHAnsi" w:hAnsiTheme="minorHAnsi" w:cstheme="minorHAnsi"/>
                <w:color w:val="auto"/>
                <w:lang w:val="cs-CZ"/>
              </w:rPr>
              <w:t xml:space="preserve">přípravu </w:t>
            </w:r>
            <w:r w:rsidRPr="00923D98" w:rsidR="004014CB">
              <w:rPr>
                <w:rFonts w:asciiTheme="minorHAnsi" w:hAnsiTheme="minorHAnsi" w:cstheme="minorHAnsi"/>
                <w:color w:val="auto"/>
                <w:lang w:val="cs-CZ"/>
              </w:rPr>
              <w:t>nových</w:t>
            </w:r>
            <w:r w:rsidRPr="00923D98" w:rsidR="000E1697">
              <w:rPr>
                <w:rFonts w:asciiTheme="minorHAnsi" w:hAnsiTheme="minorHAnsi" w:cstheme="minorHAnsi"/>
                <w:color w:val="auto"/>
                <w:lang w:val="cs-CZ"/>
              </w:rPr>
              <w:t xml:space="preserve"> unijní</w:t>
            </w:r>
            <w:r w:rsidRPr="00923D98" w:rsidR="004014CB">
              <w:rPr>
                <w:rFonts w:asciiTheme="minorHAnsi" w:hAnsiTheme="minorHAnsi" w:cstheme="minorHAnsi"/>
                <w:color w:val="auto"/>
                <w:lang w:val="cs-CZ"/>
              </w:rPr>
              <w:t>ch</w:t>
            </w:r>
            <w:r w:rsidRPr="00923D98" w:rsidR="000E1697">
              <w:rPr>
                <w:rFonts w:asciiTheme="minorHAnsi" w:hAnsiTheme="minorHAnsi" w:cstheme="minorHAnsi"/>
                <w:color w:val="auto"/>
                <w:lang w:val="cs-CZ"/>
              </w:rPr>
              <w:t xml:space="preserve"> předpis</w:t>
            </w:r>
            <w:r w:rsidRPr="00923D98" w:rsidR="004014CB">
              <w:rPr>
                <w:rFonts w:asciiTheme="minorHAnsi" w:hAnsiTheme="minorHAnsi" w:cstheme="minorHAnsi"/>
                <w:color w:val="auto"/>
                <w:lang w:val="cs-CZ"/>
              </w:rPr>
              <w:t>ů</w:t>
            </w:r>
            <w:r w:rsidRPr="00923D98" w:rsidR="000E1697">
              <w:rPr>
                <w:rFonts w:asciiTheme="minorHAnsi" w:hAnsiTheme="minorHAnsi" w:cstheme="minorHAnsi"/>
                <w:color w:val="auto"/>
                <w:lang w:val="cs-CZ"/>
              </w:rPr>
              <w:t xml:space="preserve">, které bude nutné v období </w:t>
            </w:r>
            <w:r w:rsidRPr="00923D98" w:rsidR="00784204">
              <w:rPr>
                <w:rFonts w:asciiTheme="minorHAnsi" w:hAnsiTheme="minorHAnsi" w:cstheme="minorHAnsi"/>
                <w:color w:val="auto"/>
                <w:lang w:val="cs-CZ"/>
              </w:rPr>
              <w:t>2025–2035</w:t>
            </w:r>
            <w:r w:rsidRPr="00923D98" w:rsidR="000E1697">
              <w:rPr>
                <w:rFonts w:asciiTheme="minorHAnsi" w:hAnsiTheme="minorHAnsi" w:cstheme="minorHAnsi"/>
                <w:color w:val="auto"/>
                <w:lang w:val="cs-CZ"/>
              </w:rPr>
              <w:t xml:space="preserve"> implementovat do právního řádu České republiky.</w:t>
            </w:r>
          </w:p>
          <w:p w:rsidR="006C6A55" w:rsidRPr="00923D98" w:rsidP="006C6A55" w14:paraId="4B2EC55F" w14:textId="2D21733A">
            <w:pPr>
              <w:pStyle w:val="Bntext"/>
              <w:spacing w:before="0" w:line="240" w:lineRule="auto"/>
              <w:ind w:firstLine="0"/>
              <w:rPr>
                <w:rFonts w:asciiTheme="minorHAnsi" w:hAnsiTheme="minorHAnsi" w:cstheme="minorHAnsi"/>
                <w:lang w:val="cs-CZ"/>
              </w:rPr>
            </w:pPr>
            <w:r w:rsidRPr="00923D98">
              <w:rPr>
                <w:rFonts w:asciiTheme="minorHAnsi" w:hAnsiTheme="minorHAnsi" w:cstheme="minorHAnsi"/>
                <w:color w:val="auto"/>
                <w:lang w:val="cs-CZ"/>
              </w:rPr>
              <w:t xml:space="preserve">Implementační plán může být doplněn dílčími strategickými a prováděcími </w:t>
            </w:r>
            <w:r w:rsidRPr="00923D98">
              <w:rPr>
                <w:rFonts w:asciiTheme="minorHAnsi" w:hAnsiTheme="minorHAnsi" w:cstheme="minorHAnsi"/>
                <w:lang w:val="cs-CZ"/>
              </w:rPr>
              <w:t>dokumenty, jako jsou národní akční plány či samostatné strategie ke specifickým dílčím tématům.</w:t>
            </w:r>
            <w:r w:rsidRPr="00923D98" w:rsidR="00363AC0">
              <w:rPr>
                <w:rFonts w:asciiTheme="minorHAnsi" w:hAnsiTheme="minorHAnsi" w:cstheme="minorHAnsi"/>
                <w:lang w:val="cs-CZ"/>
              </w:rPr>
              <w:t xml:space="preserve"> Úzké propojení má (v době přípravy a</w:t>
            </w:r>
            <w:r w:rsidRPr="00923D98" w:rsidR="009268CD">
              <w:rPr>
                <w:rFonts w:asciiTheme="minorHAnsi" w:hAnsiTheme="minorHAnsi" w:cstheme="minorHAnsi"/>
                <w:lang w:val="cs-CZ"/>
              </w:rPr>
              <w:t> </w:t>
            </w:r>
            <w:r w:rsidRPr="00923D98" w:rsidR="00363AC0">
              <w:rPr>
                <w:rFonts w:asciiTheme="minorHAnsi" w:hAnsiTheme="minorHAnsi" w:cstheme="minorHAnsi"/>
                <w:lang w:val="cs-CZ"/>
              </w:rPr>
              <w:t xml:space="preserve">schvalování) zejména na </w:t>
            </w:r>
            <w:r w:rsidRPr="00923D98" w:rsidR="00C241C5">
              <w:rPr>
                <w:rFonts w:asciiTheme="minorHAnsi" w:hAnsiTheme="minorHAnsi" w:cstheme="minorHAnsi"/>
                <w:lang w:val="cs-CZ"/>
              </w:rPr>
              <w:t>Farmaceutickou strategii pro Evropu</w:t>
            </w:r>
            <w:r>
              <w:rPr>
                <w:rStyle w:val="FootnoteReference"/>
                <w:rFonts w:asciiTheme="minorHAnsi" w:hAnsiTheme="minorHAnsi" w:cstheme="minorHAnsi"/>
                <w:lang w:val="cs-CZ"/>
              </w:rPr>
              <w:footnoteReference w:id="2"/>
            </w:r>
            <w:r w:rsidRPr="00923D98" w:rsidR="0069568F">
              <w:rPr>
                <w:rFonts w:asciiTheme="minorHAnsi" w:hAnsiTheme="minorHAnsi" w:cstheme="minorHAnsi"/>
                <w:lang w:val="cs-CZ"/>
              </w:rPr>
              <w:t xml:space="preserve"> a na Hospodářskou strategii České republiky: Česko do top 10</w:t>
            </w:r>
            <w:r>
              <w:rPr>
                <w:rStyle w:val="FootnoteReference"/>
                <w:rFonts w:asciiTheme="minorHAnsi" w:hAnsiTheme="minorHAnsi" w:cstheme="minorHAnsi"/>
                <w:lang w:val="cs-CZ"/>
              </w:rPr>
              <w:footnoteReference w:id="3"/>
            </w:r>
            <w:r w:rsidRPr="00923D98" w:rsidR="0069568F">
              <w:rPr>
                <w:rFonts w:asciiTheme="minorHAnsi" w:hAnsiTheme="minorHAnsi" w:cstheme="minorHAnsi"/>
                <w:lang w:val="cs-CZ"/>
              </w:rPr>
              <w:t xml:space="preserve">. </w:t>
            </w:r>
          </w:p>
        </w:tc>
      </w:tr>
      <w:tr w14:paraId="344E50BF"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923D98" w:rsidP="006C6A55" w14:paraId="033C7AEC" w14:textId="77777777">
            <w:pPr>
              <w:keepNext/>
              <w:keepLines/>
              <w:tabs>
                <w:tab w:val="left" w:pos="1843"/>
              </w:tabs>
              <w:spacing w:after="120"/>
              <w:rPr>
                <w:rFonts w:asciiTheme="minorHAnsi" w:hAnsiTheme="minorHAnsi" w:cstheme="minorHAnsi"/>
                <w:b/>
              </w:rPr>
            </w:pPr>
            <w:bookmarkStart w:id="209" w:name="_Toc2949821"/>
            <w:bookmarkStart w:id="210" w:name="_Toc2952731"/>
            <w:bookmarkStart w:id="211" w:name="_Toc6830989"/>
            <w:bookmarkStart w:id="212" w:name="_Toc6852177"/>
            <w:bookmarkStart w:id="213" w:name="_Toc7697505"/>
            <w:bookmarkStart w:id="214" w:name="_Toc7698276"/>
            <w:bookmarkStart w:id="215" w:name="_Toc7705120"/>
            <w:bookmarkStart w:id="216" w:name="_Toc7705591"/>
            <w:bookmarkStart w:id="217" w:name="_Toc7706107"/>
            <w:bookmarkStart w:id="218" w:name="_Toc7779496"/>
            <w:bookmarkStart w:id="219" w:name="_Toc10196758"/>
            <w:bookmarkStart w:id="220" w:name="_Toc10196885"/>
            <w:bookmarkStart w:id="221" w:name="_Toc10619777"/>
            <w:r w:rsidRPr="00923D98">
              <w:rPr>
                <w:rFonts w:asciiTheme="minorHAnsi" w:hAnsiTheme="minorHAnsi" w:cstheme="minorHAnsi"/>
                <w:b/>
              </w:rPr>
              <w:t xml:space="preserve">Stručný popis řešené problematiky a </w:t>
            </w:r>
            <w:bookmarkEnd w:id="209"/>
            <w:bookmarkEnd w:id="210"/>
            <w:bookmarkEnd w:id="211"/>
            <w:bookmarkEnd w:id="212"/>
            <w:bookmarkEnd w:id="213"/>
            <w:bookmarkEnd w:id="214"/>
            <w:bookmarkEnd w:id="215"/>
            <w:bookmarkEnd w:id="216"/>
            <w:bookmarkEnd w:id="217"/>
            <w:bookmarkEnd w:id="218"/>
            <w:bookmarkEnd w:id="219"/>
            <w:bookmarkEnd w:id="220"/>
            <w:bookmarkEnd w:id="221"/>
            <w:r w:rsidRPr="00923D98">
              <w:rPr>
                <w:rFonts w:asciiTheme="minorHAnsi" w:hAnsiTheme="minorHAnsi" w:cstheme="minorHAnsi"/>
                <w:b/>
              </w:rPr>
              <w:t xml:space="preserve">implementačního plánu </w:t>
            </w:r>
          </w:p>
        </w:tc>
        <w:tc>
          <w:tcPr>
            <w:tcW w:w="6932" w:type="dxa"/>
            <w:shd w:val="clear" w:color="auto" w:fill="auto"/>
            <w:tcMar>
              <w:left w:w="88" w:type="dxa"/>
            </w:tcMar>
            <w:vAlign w:val="center"/>
          </w:tcPr>
          <w:p w:rsidR="00013863" w:rsidRPr="00923D98" w:rsidP="009268CD" w14:paraId="39259317" w14:textId="0CAED837">
            <w:pPr>
              <w:pStyle w:val="Bntext"/>
              <w:ind w:firstLine="0"/>
              <w:rPr>
                <w:rFonts w:asciiTheme="minorHAnsi" w:hAnsiTheme="minorHAnsi" w:cstheme="minorHAnsi"/>
                <w:bCs/>
                <w:lang w:val="cs-CZ"/>
              </w:rPr>
            </w:pPr>
            <w:r w:rsidRPr="00923D98">
              <w:rPr>
                <w:rFonts w:asciiTheme="minorHAnsi" w:hAnsiTheme="minorHAnsi" w:cstheme="minorHAnsi"/>
                <w:bCs/>
                <w:lang w:val="cs-CZ"/>
              </w:rPr>
              <w:t>Situace v lékové politice v České republice je ovlivněna vysokou mírou regulace na úrovni Evropské unie</w:t>
            </w:r>
            <w:r w:rsidRPr="00923D98" w:rsidR="00767703">
              <w:rPr>
                <w:rFonts w:asciiTheme="minorHAnsi" w:hAnsiTheme="minorHAnsi" w:cstheme="minorHAnsi"/>
                <w:bCs/>
                <w:lang w:val="cs-CZ"/>
              </w:rPr>
              <w:t xml:space="preserve"> </w:t>
            </w:r>
            <w:r w:rsidRPr="00923D98">
              <w:rPr>
                <w:rFonts w:asciiTheme="minorHAnsi" w:hAnsiTheme="minorHAnsi" w:cstheme="minorHAnsi"/>
                <w:bCs/>
                <w:lang w:val="cs-CZ"/>
              </w:rPr>
              <w:t xml:space="preserve">a </w:t>
            </w:r>
            <w:r w:rsidRPr="00923D98" w:rsidR="00767703">
              <w:rPr>
                <w:rFonts w:asciiTheme="minorHAnsi" w:hAnsiTheme="minorHAnsi" w:cstheme="minorHAnsi"/>
                <w:bCs/>
                <w:lang w:val="cs-CZ"/>
              </w:rPr>
              <w:t xml:space="preserve">tržním nastavením vyznačujícím se silnou závislostí </w:t>
            </w:r>
            <w:r w:rsidRPr="00923D98">
              <w:rPr>
                <w:rFonts w:asciiTheme="minorHAnsi" w:hAnsiTheme="minorHAnsi" w:cstheme="minorHAnsi"/>
                <w:bCs/>
                <w:lang w:val="cs-CZ"/>
              </w:rPr>
              <w:t>na dovozu surovin, zejména z Číny a Indie. Farmaceutický průmysl čelí výzvám, jako jsou včasné a kontinuální dodávky léčiv, snížení zásob a flexibilní reakce na změny v dodávkách nebo spotřebě trhu. Nedostatek léků je globálním problémem</w:t>
            </w:r>
            <w:r w:rsidRPr="00923D98" w:rsidR="00E678E0">
              <w:rPr>
                <w:rFonts w:asciiTheme="minorHAnsi" w:hAnsiTheme="minorHAnsi" w:cstheme="minorHAnsi"/>
                <w:bCs/>
                <w:lang w:val="cs-CZ"/>
              </w:rPr>
              <w:t xml:space="preserve"> a situaci neusnadňuje ani fakt, že je </w:t>
            </w:r>
            <w:r w:rsidRPr="00923D98">
              <w:rPr>
                <w:rFonts w:asciiTheme="minorHAnsi" w:hAnsiTheme="minorHAnsi" w:cstheme="minorHAnsi"/>
                <w:bCs/>
                <w:lang w:val="cs-CZ"/>
              </w:rPr>
              <w:t>Česká republika závislá na dovozu léčivých přípravků a její vlastní výroba nedokáže kapacitně pokrýt národní spotřebu. Výdaje na zdravotní péči v ČR výrazně vzrostly</w:t>
            </w:r>
            <w:r w:rsidRPr="00923D98" w:rsidR="009268CD">
              <w:rPr>
                <w:rFonts w:asciiTheme="minorHAnsi" w:hAnsiTheme="minorHAnsi" w:cstheme="minorHAnsi"/>
                <w:bCs/>
                <w:lang w:val="cs-CZ"/>
              </w:rPr>
              <w:t xml:space="preserve"> (a dál budou růst)</w:t>
            </w:r>
            <w:r w:rsidRPr="00923D98">
              <w:rPr>
                <w:rFonts w:asciiTheme="minorHAnsi" w:hAnsiTheme="minorHAnsi" w:cstheme="minorHAnsi"/>
                <w:bCs/>
                <w:lang w:val="cs-CZ"/>
              </w:rPr>
              <w:t xml:space="preserve">, přičemž významnou část rozpočtu </w:t>
            </w:r>
            <w:r w:rsidRPr="00923D98">
              <w:rPr>
                <w:rFonts w:asciiTheme="minorHAnsi" w:hAnsiTheme="minorHAnsi" w:cstheme="minorHAnsi"/>
                <w:bCs/>
                <w:lang w:val="cs-CZ"/>
              </w:rPr>
              <w:t>tvoří</w:t>
            </w:r>
            <w:r w:rsidRPr="00923D98">
              <w:rPr>
                <w:rFonts w:asciiTheme="minorHAnsi" w:hAnsiTheme="minorHAnsi" w:cstheme="minorHAnsi"/>
                <w:bCs/>
                <w:lang w:val="cs-CZ"/>
              </w:rPr>
              <w:t xml:space="preserve"> náklady na léky. Dostupnost moderních léčiv pro pacienty je ovlivněna regionálními rozdíly, kapacitami specializovaných center a ekonomickou atraktivitou trhu.</w:t>
            </w:r>
          </w:p>
          <w:p w:rsidR="00013863" w:rsidRPr="00923D98" w:rsidP="009268CD" w14:paraId="7188B9B6" w14:textId="060058F8">
            <w:pPr>
              <w:pStyle w:val="Bntext"/>
              <w:ind w:firstLine="0"/>
              <w:rPr>
                <w:rFonts w:asciiTheme="minorHAnsi" w:hAnsiTheme="minorHAnsi" w:cstheme="minorHAnsi"/>
                <w:bCs/>
                <w:lang w:val="cs-CZ"/>
              </w:rPr>
            </w:pPr>
            <w:r w:rsidRPr="00923D98">
              <w:rPr>
                <w:rFonts w:asciiTheme="minorHAnsi" w:hAnsiTheme="minorHAnsi" w:cstheme="minorHAnsi"/>
                <w:bCs/>
                <w:lang w:val="cs-CZ"/>
              </w:rPr>
              <w:t>Legislativní opatření přijatá v posledních letech, včetně novely zákona o</w:t>
            </w:r>
            <w:r w:rsidRPr="00923D98" w:rsidR="00C5411A">
              <w:rPr>
                <w:rFonts w:asciiTheme="minorHAnsi" w:hAnsiTheme="minorHAnsi" w:cstheme="minorHAnsi"/>
                <w:bCs/>
                <w:lang w:val="cs-CZ"/>
              </w:rPr>
              <w:t> </w:t>
            </w:r>
            <w:r w:rsidRPr="00923D98">
              <w:rPr>
                <w:rFonts w:asciiTheme="minorHAnsi" w:hAnsiTheme="minorHAnsi" w:cstheme="minorHAnsi"/>
                <w:bCs/>
                <w:lang w:val="cs-CZ"/>
              </w:rPr>
              <w:t>léčivech, mají za cíl zlepšit dostupnost léčiv a zmírnit dopady výpadků na pacienty. Novela zákona o veřejném zdravotním pojištění posiluje roli zdravotních pojišťoven při zajištění dostupnosti léčivých přípravků. Evropská legislativa se zaměřuje na podporu výroby a dostupnosti léčiv v</w:t>
            </w:r>
            <w:r w:rsidRPr="00923D98" w:rsidR="00C5411A">
              <w:rPr>
                <w:rFonts w:asciiTheme="minorHAnsi" w:hAnsiTheme="minorHAnsi" w:cstheme="minorHAnsi"/>
                <w:bCs/>
                <w:lang w:val="cs-CZ"/>
              </w:rPr>
              <w:t> </w:t>
            </w:r>
            <w:r w:rsidRPr="00923D98">
              <w:rPr>
                <w:rFonts w:asciiTheme="minorHAnsi" w:hAnsiTheme="minorHAnsi" w:cstheme="minorHAnsi"/>
                <w:bCs/>
                <w:lang w:val="cs-CZ"/>
              </w:rPr>
              <w:t>EU, včetně revize obecné farmaceutické legislativy a zavedení nových modelů financování.</w:t>
            </w:r>
          </w:p>
          <w:p w:rsidR="006C6A55" w:rsidP="006C6A55" w14:paraId="75B4AEC2" w14:textId="77777777">
            <w:pPr>
              <w:pStyle w:val="Bntext"/>
              <w:ind w:firstLine="0"/>
              <w:rPr>
                <w:rFonts w:asciiTheme="minorHAnsi" w:hAnsiTheme="minorHAnsi" w:cstheme="minorHAnsi"/>
                <w:bCs/>
                <w:lang w:val="cs-CZ"/>
              </w:rPr>
            </w:pPr>
            <w:r w:rsidRPr="00923D98">
              <w:rPr>
                <w:rFonts w:asciiTheme="minorHAnsi" w:hAnsiTheme="minorHAnsi" w:cstheme="minorHAnsi"/>
                <w:bCs/>
                <w:lang w:val="cs-CZ"/>
              </w:rPr>
              <w:t>Celkově se léková politika v České republice zaměřuje na zajištění systémové dostupnosti léčiv pro pacienty a udržitelnost zdravotního systému.</w:t>
            </w:r>
            <w:r w:rsidRPr="00923D98" w:rsidR="00C5411A">
              <w:rPr>
                <w:rFonts w:asciiTheme="minorHAnsi" w:hAnsiTheme="minorHAnsi" w:cstheme="minorHAnsi"/>
                <w:bCs/>
                <w:lang w:val="cs-CZ"/>
              </w:rPr>
              <w:t xml:space="preserve"> </w:t>
            </w:r>
            <w:r w:rsidRPr="00923D98" w:rsidR="006F7B4A">
              <w:rPr>
                <w:rFonts w:asciiTheme="minorHAnsi" w:hAnsiTheme="minorHAnsi" w:cstheme="minorHAnsi"/>
                <w:bCs/>
                <w:lang w:val="cs-CZ"/>
              </w:rPr>
              <w:t>Podrobněji</w:t>
            </w:r>
            <w:r w:rsidRPr="00923D98" w:rsidR="00C5411A">
              <w:rPr>
                <w:rFonts w:asciiTheme="minorHAnsi" w:hAnsiTheme="minorHAnsi" w:cstheme="minorHAnsi"/>
                <w:bCs/>
                <w:lang w:val="cs-CZ"/>
              </w:rPr>
              <w:t xml:space="preserve"> viz Strategick</w:t>
            </w:r>
            <w:r w:rsidRPr="00923D98" w:rsidR="00EA0309">
              <w:rPr>
                <w:rFonts w:asciiTheme="minorHAnsi" w:hAnsiTheme="minorHAnsi" w:cstheme="minorHAnsi"/>
                <w:bCs/>
                <w:lang w:val="cs-CZ"/>
              </w:rPr>
              <w:t>ý</w:t>
            </w:r>
            <w:r w:rsidRPr="00923D98" w:rsidR="00C5411A">
              <w:rPr>
                <w:rFonts w:asciiTheme="minorHAnsi" w:hAnsiTheme="minorHAnsi" w:cstheme="minorHAnsi"/>
                <w:bCs/>
                <w:lang w:val="cs-CZ"/>
              </w:rPr>
              <w:t xml:space="preserve"> rám</w:t>
            </w:r>
            <w:r w:rsidRPr="00923D98" w:rsidR="00EA0309">
              <w:rPr>
                <w:rFonts w:asciiTheme="minorHAnsi" w:hAnsiTheme="minorHAnsi" w:cstheme="minorHAnsi"/>
                <w:bCs/>
                <w:lang w:val="cs-CZ"/>
              </w:rPr>
              <w:t>ec</w:t>
            </w:r>
            <w:r w:rsidRPr="00923D98" w:rsidR="00C5411A">
              <w:rPr>
                <w:rFonts w:asciiTheme="minorHAnsi" w:hAnsiTheme="minorHAnsi" w:cstheme="minorHAnsi"/>
                <w:bCs/>
                <w:lang w:val="cs-CZ"/>
              </w:rPr>
              <w:t xml:space="preserve"> Zdraví 2035.</w:t>
            </w:r>
          </w:p>
          <w:p w:rsidR="00E61E2C" w:rsidRPr="00923D98" w:rsidP="006C6A55" w14:paraId="191E23C1" w14:textId="149F9E0E">
            <w:pPr>
              <w:pStyle w:val="Bntext"/>
              <w:ind w:firstLine="0"/>
              <w:rPr>
                <w:rFonts w:asciiTheme="minorHAnsi" w:hAnsiTheme="minorHAnsi" w:cstheme="minorHAnsi"/>
                <w:bCs/>
                <w:lang w:val="cs-CZ"/>
              </w:rPr>
            </w:pPr>
            <w:r w:rsidRPr="00F32FE8">
              <w:rPr>
                <w:bCs/>
                <w:lang w:val="cs-CZ"/>
              </w:rPr>
              <w:t xml:space="preserve">Samotný implementační plán blíže popisuje daný specifický cíl a poskytuje informace o hierarchické struktuře prací, harmonogramu a plánovaném rozpočtu, základním souboru sledovaných indikátorů, řídicí a organizační </w:t>
            </w:r>
            <w:r w:rsidRPr="00F32FE8">
              <w:rPr>
                <w:bCs/>
                <w:lang w:val="cs-CZ"/>
              </w:rPr>
              <w:t xml:space="preserve">struktuře implementace, systému řízení rizik, systému monitorování </w:t>
            </w:r>
            <w:r w:rsidRPr="00F32FE8">
              <w:rPr>
                <w:bCs/>
                <w:lang w:val="cs-CZ"/>
              </w:rPr>
              <w:br/>
              <w:t>a evaluací a také o komunikačním plánu.</w:t>
            </w:r>
          </w:p>
        </w:tc>
      </w:tr>
      <w:bookmarkEnd w:id="0"/>
    </w:tbl>
    <w:p w:rsidR="002223DF" w:rsidRPr="00923D98" w:rsidP="00D07AC4" w14:paraId="3B7C7A9E" w14:textId="77777777">
      <w:pPr>
        <w:jc w:val="both"/>
        <w:rPr>
          <w:rFonts w:asciiTheme="minorHAnsi" w:hAnsiTheme="minorHAnsi" w:cstheme="minorHAnsi"/>
        </w:rPr>
      </w:pPr>
    </w:p>
    <w:p w:rsidR="002223DF" w:rsidRPr="00923D98" w:rsidP="00D07AC4" w14:paraId="3178C0F6" w14:textId="77777777">
      <w:pPr>
        <w:jc w:val="both"/>
        <w:rPr>
          <w:rFonts w:asciiTheme="minorHAnsi" w:hAnsiTheme="minorHAnsi" w:cstheme="minorHAnsi"/>
        </w:rPr>
      </w:pPr>
    </w:p>
    <w:p w:rsidR="002223DF" w:rsidRPr="00923D98" w:rsidP="00D07AC4" w14:paraId="008F74BD" w14:textId="77777777">
      <w:pPr>
        <w:jc w:val="both"/>
        <w:rPr>
          <w:rFonts w:asciiTheme="minorHAnsi" w:hAnsiTheme="minorHAnsi" w:cstheme="minorHAnsi"/>
        </w:rPr>
      </w:pPr>
    </w:p>
    <w:p w:rsidR="001C403B" w:rsidRPr="00923D98" w14:paraId="1A7E2232" w14:textId="77777777">
      <w:pPr>
        <w:rPr>
          <w:rFonts w:asciiTheme="minorHAnsi" w:hAnsiTheme="minorHAnsi" w:cstheme="minorHAnsi"/>
        </w:rPr>
      </w:pPr>
      <w:r w:rsidRPr="00923D98">
        <w:rPr>
          <w:rFonts w:asciiTheme="minorHAnsi" w:hAnsiTheme="minorHAnsi" w:cstheme="minorHAnsi"/>
        </w:rPr>
        <w:br w:type="page"/>
      </w:r>
    </w:p>
    <w:p w:rsidR="001D3B85" w:rsidRPr="00923D98" w:rsidP="00D07AC4" w14:paraId="73F2A018" w14:textId="77777777">
      <w:pPr>
        <w:jc w:val="both"/>
        <w:rPr>
          <w:rFonts w:asciiTheme="minorHAnsi" w:hAnsiTheme="minorHAnsi" w:cstheme="minorHAnsi"/>
        </w:rPr>
      </w:pPr>
    </w:p>
    <w:sdt>
      <w:sdtPr>
        <w:rPr>
          <w:rFonts w:ascii="Times New Roman" w:eastAsia="Times New Roman" w:hAnsi="Times New Roman" w:cstheme="minorHAnsi"/>
          <w:color w:val="auto"/>
          <w:sz w:val="24"/>
          <w:szCs w:val="24"/>
        </w:rPr>
        <w:id w:val="475343376"/>
        <w:docPartObj>
          <w:docPartGallery w:val="Table of Contents"/>
          <w:docPartUnique/>
        </w:docPartObj>
      </w:sdtPr>
      <w:sdtEndPr>
        <w:rPr>
          <w:b/>
          <w:bCs/>
        </w:rPr>
      </w:sdtEndPr>
      <w:sdtContent>
        <w:p w:rsidR="00C11F34" w:rsidRPr="00923D98" w14:paraId="3DF4AC72" w14:textId="77777777">
          <w:pPr>
            <w:pStyle w:val="TOCHeading"/>
            <w:rPr>
              <w:rFonts w:cstheme="minorHAnsi"/>
            </w:rPr>
          </w:pPr>
          <w:r w:rsidRPr="00923D98">
            <w:rPr>
              <w:rFonts w:cstheme="minorHAnsi"/>
            </w:rPr>
            <w:t>Obsah</w:t>
          </w:r>
        </w:p>
        <w:p w14:paraId="487F4ED0" w14:textId="55C70BBA">
          <w:pPr>
            <w:pStyle w:val="TOC1"/>
            <w:tabs>
              <w:tab w:val="left" w:pos="440"/>
              <w:tab w:val="right" w:leader="dot" w:pos="9062"/>
            </w:tabs>
            <w:rPr>
              <w:rFonts w:asciiTheme="minorHAnsi" w:hAnsiTheme="minorHAnsi"/>
              <w:noProof/>
              <w:sz w:val="22"/>
            </w:rPr>
          </w:pPr>
          <w:r w:rsidRPr="00923D98">
            <w:rPr>
              <w:rFonts w:asciiTheme="minorHAnsi" w:hAnsiTheme="minorHAnsi" w:cstheme="minorHAnsi"/>
              <w:b/>
              <w:bCs/>
            </w:rPr>
            <w:fldChar w:fldCharType="begin"/>
          </w:r>
          <w:r w:rsidRPr="00923D98">
            <w:rPr>
              <w:rFonts w:asciiTheme="minorHAnsi" w:hAnsiTheme="minorHAnsi" w:cstheme="minorHAnsi"/>
              <w:b/>
              <w:bCs/>
            </w:rPr>
            <w:instrText xml:space="preserve"> TOC \o "1-3" \h \z \u </w:instrText>
          </w:r>
          <w:r w:rsidRPr="00923D98">
            <w:rPr>
              <w:rFonts w:asciiTheme="minorHAnsi" w:hAnsiTheme="minorHAnsi" w:cstheme="minorHAnsi"/>
              <w:b/>
              <w:bCs/>
            </w:rPr>
            <w:fldChar w:fldCharType="separate"/>
          </w:r>
          <w:hyperlink w:anchor="_Toc256000000" w:history="1">
            <w:r>
              <w:rPr>
                <w:rStyle w:val="Hyperlink"/>
                <w:rFonts w:cstheme="minorHAnsi"/>
              </w:rPr>
              <w:t>1.</w:t>
            </w:r>
            <w:r>
              <w:rPr>
                <w:rFonts w:asciiTheme="minorHAnsi" w:hAnsiTheme="minorHAnsi" w:cstheme="minorHAnsi"/>
                <w:noProof/>
                <w:sz w:val="22"/>
              </w:rPr>
              <w:tab/>
            </w:r>
            <w:r w:rsidRPr="00923D98">
              <w:rPr>
                <w:rStyle w:val="Hyperlink"/>
                <w:rFonts w:cstheme="minorHAnsi"/>
              </w:rPr>
              <w:t>Úvod</w:t>
            </w:r>
            <w:r>
              <w:tab/>
            </w:r>
            <w:r>
              <w:fldChar w:fldCharType="begin"/>
            </w:r>
            <w:r>
              <w:instrText xml:space="preserve"> PAGEREF _Toc256000000 \h </w:instrText>
            </w:r>
            <w:r>
              <w:fldChar w:fldCharType="separate"/>
            </w:r>
            <w:r>
              <w:t>6</w:t>
            </w:r>
            <w:r>
              <w:fldChar w:fldCharType="end"/>
            </w:r>
          </w:hyperlink>
        </w:p>
        <w:p>
          <w:pPr>
            <w:pStyle w:val="TOC1"/>
            <w:tabs>
              <w:tab w:val="left" w:pos="440"/>
              <w:tab w:val="right" w:leader="dot" w:pos="9062"/>
            </w:tabs>
            <w:rPr>
              <w:rFonts w:asciiTheme="minorHAnsi" w:hAnsiTheme="minorHAnsi"/>
              <w:noProof/>
              <w:sz w:val="22"/>
            </w:rPr>
          </w:pPr>
          <w:hyperlink w:anchor="_Toc256000001" w:history="1">
            <w:r>
              <w:rPr>
                <w:rStyle w:val="Hyperlink"/>
                <w:rFonts w:cstheme="minorHAnsi"/>
              </w:rPr>
              <w:t>2.</w:t>
            </w:r>
            <w:r>
              <w:rPr>
                <w:rFonts w:asciiTheme="minorHAnsi" w:hAnsiTheme="minorHAnsi" w:cstheme="minorHAnsi"/>
                <w:noProof/>
                <w:sz w:val="22"/>
              </w:rPr>
              <w:tab/>
            </w:r>
            <w:r w:rsidRPr="00923D98">
              <w:rPr>
                <w:rStyle w:val="Hyperlink"/>
                <w:rFonts w:cstheme="minorHAnsi"/>
              </w:rPr>
              <w:t>Základní informace o specifickém cíli</w:t>
            </w:r>
            <w:r>
              <w:tab/>
            </w:r>
            <w:r>
              <w:fldChar w:fldCharType="begin"/>
            </w:r>
            <w:r>
              <w:instrText xml:space="preserve"> PAGEREF _Toc256000001 \h </w:instrText>
            </w:r>
            <w:r>
              <w:fldChar w:fldCharType="separate"/>
            </w:r>
            <w:r>
              <w:t>10</w:t>
            </w:r>
            <w:r>
              <w:fldChar w:fldCharType="end"/>
            </w:r>
          </w:hyperlink>
        </w:p>
        <w:p>
          <w:pPr>
            <w:pStyle w:val="TOC1"/>
            <w:tabs>
              <w:tab w:val="left" w:pos="440"/>
              <w:tab w:val="right" w:leader="dot" w:pos="9062"/>
            </w:tabs>
            <w:rPr>
              <w:rFonts w:asciiTheme="minorHAnsi" w:hAnsiTheme="minorHAnsi"/>
              <w:noProof/>
              <w:sz w:val="22"/>
            </w:rPr>
          </w:pPr>
          <w:hyperlink w:anchor="_Toc256000002" w:history="1">
            <w:r>
              <w:rPr>
                <w:rStyle w:val="Hyperlink"/>
                <w:rFonts w:cstheme="minorHAnsi"/>
              </w:rPr>
              <w:t>3.</w:t>
            </w:r>
            <w:r>
              <w:rPr>
                <w:rFonts w:asciiTheme="minorHAnsi" w:hAnsiTheme="minorHAnsi" w:cstheme="minorHAnsi"/>
                <w:noProof/>
                <w:sz w:val="22"/>
              </w:rPr>
              <w:tab/>
            </w:r>
            <w:r w:rsidRPr="00923D98">
              <w:rPr>
                <w:rStyle w:val="Hyperlink"/>
                <w:rFonts w:cstheme="minorHAnsi"/>
              </w:rPr>
              <w:t>H</w:t>
            </w:r>
            <w:r w:rsidRPr="00923D98" w:rsidR="009952F1">
              <w:rPr>
                <w:rStyle w:val="Hyperlink"/>
                <w:rFonts w:cstheme="minorHAnsi"/>
              </w:rPr>
              <w:t>ierarchická struktura prací a harmonogram realizace</w:t>
            </w:r>
            <w:r>
              <w:tab/>
            </w:r>
            <w:r>
              <w:fldChar w:fldCharType="begin"/>
            </w:r>
            <w:r>
              <w:instrText xml:space="preserve"> PAGEREF _Toc256000002 \h </w:instrText>
            </w:r>
            <w:r>
              <w:fldChar w:fldCharType="separate"/>
            </w:r>
            <w:r>
              <w:t>16</w:t>
            </w:r>
            <w:r>
              <w:fldChar w:fldCharType="end"/>
            </w:r>
          </w:hyperlink>
        </w:p>
        <w:p>
          <w:pPr>
            <w:pStyle w:val="TOC1"/>
            <w:tabs>
              <w:tab w:val="left" w:pos="440"/>
              <w:tab w:val="right" w:leader="dot" w:pos="9062"/>
            </w:tabs>
            <w:rPr>
              <w:rFonts w:asciiTheme="minorHAnsi" w:hAnsiTheme="minorHAnsi"/>
              <w:noProof/>
              <w:sz w:val="22"/>
            </w:rPr>
          </w:pPr>
          <w:hyperlink w:anchor="_Toc256000003" w:history="1">
            <w:r>
              <w:rPr>
                <w:rStyle w:val="Hyperlink"/>
                <w:rFonts w:cstheme="minorHAnsi"/>
              </w:rPr>
              <w:t>4.</w:t>
            </w:r>
            <w:r>
              <w:rPr>
                <w:rFonts w:asciiTheme="minorHAnsi" w:hAnsiTheme="minorHAnsi" w:cstheme="minorHAnsi"/>
                <w:noProof/>
                <w:sz w:val="22"/>
              </w:rPr>
              <w:tab/>
            </w:r>
            <w:r w:rsidRPr="00923D98">
              <w:rPr>
                <w:rStyle w:val="Hyperlink"/>
                <w:rFonts w:cstheme="minorHAnsi"/>
              </w:rPr>
              <w:t xml:space="preserve">Rozpočet a </w:t>
            </w:r>
            <w:r w:rsidRPr="00923D98" w:rsidR="0024762C">
              <w:rPr>
                <w:rStyle w:val="Hyperlink"/>
                <w:rFonts w:cstheme="minorHAnsi"/>
              </w:rPr>
              <w:t xml:space="preserve">předpokládané </w:t>
            </w:r>
            <w:r w:rsidRPr="00923D98">
              <w:rPr>
                <w:rStyle w:val="Hyperlink"/>
                <w:rFonts w:cstheme="minorHAnsi"/>
              </w:rPr>
              <w:t>zdroje financování</w:t>
            </w:r>
            <w:r>
              <w:tab/>
            </w:r>
            <w:r>
              <w:fldChar w:fldCharType="begin"/>
            </w:r>
            <w:r>
              <w:instrText xml:space="preserve"> PAGEREF _Toc256000003 \h </w:instrText>
            </w:r>
            <w:r>
              <w:fldChar w:fldCharType="separate"/>
            </w:r>
            <w:r>
              <w:t>25</w:t>
            </w:r>
            <w:r>
              <w:fldChar w:fldCharType="end"/>
            </w:r>
          </w:hyperlink>
        </w:p>
        <w:p>
          <w:pPr>
            <w:pStyle w:val="TOC1"/>
            <w:tabs>
              <w:tab w:val="left" w:pos="440"/>
              <w:tab w:val="right" w:leader="dot" w:pos="9062"/>
            </w:tabs>
            <w:rPr>
              <w:rFonts w:asciiTheme="minorHAnsi" w:hAnsiTheme="minorHAnsi"/>
              <w:noProof/>
              <w:sz w:val="22"/>
            </w:rPr>
          </w:pPr>
          <w:hyperlink w:anchor="_Toc256000004" w:history="1">
            <w:r>
              <w:rPr>
                <w:rStyle w:val="Hyperlink"/>
                <w:rFonts w:cstheme="minorHAnsi"/>
              </w:rPr>
              <w:t>5.</w:t>
            </w:r>
            <w:r>
              <w:rPr>
                <w:rFonts w:asciiTheme="minorHAnsi" w:hAnsiTheme="minorHAnsi" w:cstheme="minorHAnsi"/>
                <w:noProof/>
                <w:sz w:val="22"/>
              </w:rPr>
              <w:tab/>
            </w:r>
            <w:r w:rsidRPr="00923D98">
              <w:rPr>
                <w:rStyle w:val="Hyperlink"/>
                <w:rFonts w:cstheme="minorHAnsi"/>
              </w:rPr>
              <w:t>Soubor indikátorů</w:t>
            </w:r>
            <w:r>
              <w:tab/>
            </w:r>
            <w:r>
              <w:fldChar w:fldCharType="begin"/>
            </w:r>
            <w:r>
              <w:instrText xml:space="preserve"> PAGEREF _Toc256000004 \h </w:instrText>
            </w:r>
            <w:r>
              <w:fldChar w:fldCharType="separate"/>
            </w:r>
            <w:r>
              <w:t>28</w:t>
            </w:r>
            <w:r>
              <w:fldChar w:fldCharType="end"/>
            </w:r>
          </w:hyperlink>
        </w:p>
        <w:p>
          <w:pPr>
            <w:pStyle w:val="TOC1"/>
            <w:tabs>
              <w:tab w:val="left" w:pos="440"/>
              <w:tab w:val="right" w:leader="dot" w:pos="9062"/>
            </w:tabs>
            <w:rPr>
              <w:rFonts w:asciiTheme="minorHAnsi" w:hAnsiTheme="minorHAnsi"/>
              <w:noProof/>
              <w:sz w:val="22"/>
            </w:rPr>
          </w:pPr>
          <w:hyperlink w:anchor="_Toc256000005" w:history="1">
            <w:r>
              <w:rPr>
                <w:rStyle w:val="Hyperlink"/>
                <w:rFonts w:cstheme="minorHAnsi"/>
              </w:rPr>
              <w:t>6.</w:t>
            </w:r>
            <w:r>
              <w:rPr>
                <w:rFonts w:asciiTheme="minorHAnsi" w:hAnsiTheme="minorHAnsi" w:cstheme="minorHAnsi"/>
                <w:noProof/>
                <w:sz w:val="22"/>
              </w:rPr>
              <w:tab/>
            </w:r>
            <w:r w:rsidRPr="00923D98">
              <w:rPr>
                <w:rStyle w:val="Hyperlink"/>
                <w:rFonts w:cstheme="minorHAnsi"/>
              </w:rPr>
              <w:t>I</w:t>
            </w:r>
            <w:r w:rsidRPr="00923D98" w:rsidR="00584807">
              <w:rPr>
                <w:rStyle w:val="Hyperlink"/>
                <w:rFonts w:cstheme="minorHAnsi"/>
              </w:rPr>
              <w:t>mplementační struktura</w:t>
            </w:r>
            <w:r>
              <w:tab/>
            </w:r>
            <w:r>
              <w:fldChar w:fldCharType="begin"/>
            </w:r>
            <w:r>
              <w:instrText xml:space="preserve"> PAGEREF _Toc256000005 \h </w:instrText>
            </w:r>
            <w:r>
              <w:fldChar w:fldCharType="separate"/>
            </w:r>
            <w:r>
              <w:t>30</w:t>
            </w:r>
            <w:r>
              <w:fldChar w:fldCharType="end"/>
            </w:r>
          </w:hyperlink>
        </w:p>
        <w:p>
          <w:pPr>
            <w:pStyle w:val="TOC1"/>
            <w:tabs>
              <w:tab w:val="left" w:pos="440"/>
              <w:tab w:val="right" w:leader="dot" w:pos="9062"/>
            </w:tabs>
            <w:rPr>
              <w:rFonts w:asciiTheme="minorHAnsi" w:hAnsiTheme="minorHAnsi"/>
              <w:noProof/>
              <w:sz w:val="22"/>
            </w:rPr>
          </w:pPr>
          <w:hyperlink w:anchor="_Toc256000006" w:history="1">
            <w:r>
              <w:rPr>
                <w:rStyle w:val="Hyperlink"/>
                <w:rFonts w:cstheme="minorHAnsi"/>
              </w:rPr>
              <w:t>7.</w:t>
            </w:r>
            <w:r>
              <w:rPr>
                <w:rFonts w:asciiTheme="minorHAnsi" w:hAnsiTheme="minorHAnsi" w:cstheme="minorHAnsi"/>
                <w:noProof/>
                <w:sz w:val="22"/>
              </w:rPr>
              <w:tab/>
            </w:r>
            <w:r w:rsidRPr="00923D98">
              <w:rPr>
                <w:rStyle w:val="Hyperlink"/>
                <w:rFonts w:cstheme="minorHAnsi"/>
              </w:rPr>
              <w:t>Řízení rizik</w:t>
            </w:r>
            <w:r>
              <w:tab/>
            </w:r>
            <w:r>
              <w:fldChar w:fldCharType="begin"/>
            </w:r>
            <w:r>
              <w:instrText xml:space="preserve"> PAGEREF _Toc256000006 \h </w:instrText>
            </w:r>
            <w:r>
              <w:fldChar w:fldCharType="separate"/>
            </w:r>
            <w:r>
              <w:t>31</w:t>
            </w:r>
            <w:r>
              <w:fldChar w:fldCharType="end"/>
            </w:r>
          </w:hyperlink>
        </w:p>
        <w:p>
          <w:pPr>
            <w:pStyle w:val="TOC1"/>
            <w:tabs>
              <w:tab w:val="left" w:pos="440"/>
              <w:tab w:val="right" w:leader="dot" w:pos="9062"/>
            </w:tabs>
            <w:rPr>
              <w:rFonts w:asciiTheme="minorHAnsi" w:hAnsiTheme="minorHAnsi"/>
              <w:noProof/>
              <w:sz w:val="22"/>
            </w:rPr>
          </w:pPr>
          <w:hyperlink w:anchor="_Toc256000007" w:history="1">
            <w:r>
              <w:rPr>
                <w:rStyle w:val="Hyperlink"/>
                <w:rFonts w:cstheme="minorHAnsi"/>
              </w:rPr>
              <w:t>8.</w:t>
            </w:r>
            <w:r>
              <w:rPr>
                <w:rFonts w:asciiTheme="minorHAnsi" w:hAnsiTheme="minorHAnsi" w:cstheme="minorHAnsi"/>
                <w:noProof/>
                <w:sz w:val="22"/>
              </w:rPr>
              <w:tab/>
            </w:r>
            <w:r w:rsidRPr="00923D98">
              <w:rPr>
                <w:rStyle w:val="Hyperlink"/>
                <w:rFonts w:cstheme="minorHAnsi"/>
              </w:rPr>
              <w:t>Řízení změn</w:t>
            </w:r>
            <w:r>
              <w:tab/>
            </w:r>
            <w:r>
              <w:fldChar w:fldCharType="begin"/>
            </w:r>
            <w:r>
              <w:instrText xml:space="preserve"> PAGEREF _Toc256000007 \h </w:instrText>
            </w:r>
            <w:r>
              <w:fldChar w:fldCharType="separate"/>
            </w:r>
            <w:r>
              <w:t>34</w:t>
            </w:r>
            <w:r>
              <w:fldChar w:fldCharType="end"/>
            </w:r>
          </w:hyperlink>
        </w:p>
        <w:p>
          <w:pPr>
            <w:pStyle w:val="TOC1"/>
            <w:tabs>
              <w:tab w:val="left" w:pos="440"/>
              <w:tab w:val="right" w:leader="dot" w:pos="9062"/>
            </w:tabs>
            <w:rPr>
              <w:rFonts w:asciiTheme="minorHAnsi" w:hAnsiTheme="minorHAnsi"/>
              <w:noProof/>
              <w:sz w:val="22"/>
            </w:rPr>
          </w:pPr>
          <w:hyperlink w:anchor="_Toc256000008" w:history="1">
            <w:r>
              <w:rPr>
                <w:rStyle w:val="Hyperlink"/>
                <w:rFonts w:cstheme="minorHAnsi"/>
              </w:rPr>
              <w:t>9.</w:t>
            </w:r>
            <w:r>
              <w:rPr>
                <w:rFonts w:asciiTheme="minorHAnsi" w:hAnsiTheme="minorHAnsi" w:cstheme="minorHAnsi"/>
                <w:noProof/>
                <w:sz w:val="22"/>
              </w:rPr>
              <w:tab/>
            </w:r>
            <w:r w:rsidRPr="00923D98">
              <w:rPr>
                <w:rStyle w:val="Hyperlink"/>
                <w:rFonts w:cstheme="minorHAnsi"/>
              </w:rPr>
              <w:t xml:space="preserve">Monitorování a </w:t>
            </w:r>
            <w:r w:rsidRPr="00923D98" w:rsidR="00F20902">
              <w:rPr>
                <w:rStyle w:val="Hyperlink"/>
                <w:rFonts w:cstheme="minorHAnsi"/>
              </w:rPr>
              <w:t>evaluace</w:t>
            </w:r>
            <w:r>
              <w:tab/>
            </w:r>
            <w:r>
              <w:fldChar w:fldCharType="begin"/>
            </w:r>
            <w:r>
              <w:instrText xml:space="preserve"> PAGEREF _Toc256000008 \h </w:instrText>
            </w:r>
            <w:r>
              <w:fldChar w:fldCharType="separate"/>
            </w:r>
            <w:r>
              <w:t>35</w:t>
            </w:r>
            <w:r>
              <w:fldChar w:fldCharType="end"/>
            </w:r>
          </w:hyperlink>
        </w:p>
        <w:p>
          <w:pPr>
            <w:pStyle w:val="TOC1"/>
            <w:tabs>
              <w:tab w:val="left" w:pos="660"/>
              <w:tab w:val="right" w:leader="dot" w:pos="9062"/>
            </w:tabs>
            <w:rPr>
              <w:rFonts w:asciiTheme="minorHAnsi" w:hAnsiTheme="minorHAnsi"/>
              <w:noProof/>
              <w:sz w:val="22"/>
            </w:rPr>
          </w:pPr>
          <w:hyperlink w:anchor="_Toc256000009" w:history="1">
            <w:r>
              <w:rPr>
                <w:rStyle w:val="Hyperlink"/>
                <w:rFonts w:cstheme="minorHAnsi"/>
              </w:rPr>
              <w:t>10.</w:t>
            </w:r>
            <w:r>
              <w:rPr>
                <w:rFonts w:asciiTheme="minorHAnsi" w:hAnsiTheme="minorHAnsi" w:cstheme="minorHAnsi"/>
                <w:noProof/>
                <w:sz w:val="22"/>
              </w:rPr>
              <w:tab/>
            </w:r>
            <w:r w:rsidRPr="00923D98">
              <w:rPr>
                <w:rStyle w:val="Hyperlink"/>
                <w:rFonts w:cstheme="minorHAnsi"/>
              </w:rPr>
              <w:t>Komunikační plán</w:t>
            </w:r>
            <w:r>
              <w:tab/>
            </w:r>
            <w:r>
              <w:fldChar w:fldCharType="begin"/>
            </w:r>
            <w:r>
              <w:instrText xml:space="preserve"> PAGEREF _Toc256000009 \h </w:instrText>
            </w:r>
            <w:r>
              <w:fldChar w:fldCharType="separate"/>
            </w:r>
            <w:r>
              <w:t>36</w:t>
            </w:r>
            <w:r>
              <w:fldChar w:fldCharType="end"/>
            </w:r>
          </w:hyperlink>
        </w:p>
        <w:p w:rsidR="00C11F34" w:rsidRPr="00923D98">
          <w:pPr>
            <w:rPr>
              <w:rFonts w:asciiTheme="minorHAnsi" w:hAnsiTheme="minorHAnsi" w:cstheme="minorHAnsi"/>
            </w:rPr>
          </w:pPr>
          <w:r w:rsidRPr="00923D98">
            <w:rPr>
              <w:rFonts w:asciiTheme="minorHAnsi" w:hAnsiTheme="minorHAnsi" w:cstheme="minorHAnsi"/>
              <w:b/>
              <w:bCs/>
            </w:rPr>
            <w:fldChar w:fldCharType="end"/>
          </w:r>
        </w:p>
      </w:sdtContent>
    </w:sdt>
    <w:p w:rsidR="00C11F34" w:rsidRPr="00923D98" w14:paraId="56FF5BA0" w14:textId="77777777">
      <w:pPr>
        <w:rPr>
          <w:rFonts w:asciiTheme="minorHAnsi" w:hAnsiTheme="minorHAnsi" w:cstheme="minorHAnsi"/>
        </w:rPr>
      </w:pPr>
      <w:r w:rsidRPr="00923D98">
        <w:rPr>
          <w:rFonts w:asciiTheme="minorHAnsi" w:hAnsiTheme="minorHAnsi" w:cstheme="minorHAnsi"/>
        </w:rPr>
        <w:br w:type="page"/>
      </w:r>
    </w:p>
    <w:p w:rsidR="00564925" w:rsidRPr="00923D98" w:rsidP="00371E45" w14:paraId="2A7A996B" w14:textId="77777777">
      <w:pPr>
        <w:pStyle w:val="Heading1"/>
        <w:numPr>
          <w:ilvl w:val="0"/>
          <w:numId w:val="13"/>
        </w:numPr>
        <w:rPr>
          <w:rFonts w:cstheme="minorHAnsi"/>
        </w:rPr>
      </w:pPr>
      <w:bookmarkStart w:id="222" w:name="_Toc256000000"/>
      <w:r w:rsidRPr="00923D98">
        <w:rPr>
          <w:rFonts w:cstheme="minorHAnsi"/>
        </w:rPr>
        <w:t>Úvod</w:t>
      </w:r>
      <w:bookmarkEnd w:id="222"/>
      <w:r w:rsidRPr="00923D98">
        <w:rPr>
          <w:rFonts w:cstheme="minorHAnsi"/>
        </w:rPr>
        <w:t xml:space="preserve"> </w:t>
      </w:r>
    </w:p>
    <w:p w:rsidR="00564925" w:rsidRPr="00923D98" w:rsidP="00407113" w14:paraId="3C5C6D39" w14:textId="77777777">
      <w:pPr>
        <w:jc w:val="both"/>
        <w:rPr>
          <w:rFonts w:asciiTheme="minorHAnsi" w:hAnsiTheme="minorHAnsi" w:cstheme="minorHAnsi"/>
        </w:rPr>
      </w:pPr>
    </w:p>
    <w:p w:rsidR="00E61E2C" w:rsidP="00E61E2C" w14:paraId="20071B7B" w14:textId="77777777">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w:t>
      </w:r>
      <w:bookmarkStart w:id="223" w:name="_Hlk25837864"/>
      <w:bookmarkStart w:id="224" w:name="_Hlk25837539"/>
      <w:r w:rsidRPr="005957CD">
        <w:rPr>
          <w:rFonts w:asciiTheme="minorHAnsi" w:hAnsiTheme="minorHAnsi" w:cs="Arial"/>
        </w:rPr>
        <w:t>dne 18. listopadu 2019 usnesením č. 817/2019,</w:t>
      </w:r>
      <w:bookmarkEnd w:id="223"/>
      <w:r w:rsidRPr="005957CD">
        <w:rPr>
          <w:rFonts w:asciiTheme="minorHAnsi" w:hAnsiTheme="minorHAnsi" w:cs="Arial"/>
        </w:rPr>
        <w:t xml:space="preserve"> </w:t>
      </w:r>
      <w:bookmarkEnd w:id="224"/>
      <w:r w:rsidRPr="005957CD">
        <w:rPr>
          <w:rFonts w:asciiTheme="minorHAnsi" w:hAnsiTheme="minorHAnsi" w:cs="Arial"/>
        </w:rPr>
        <w:t xml:space="preserve">který je základním resortním koncepčním materiálem </w:t>
      </w:r>
      <w:r>
        <w:rPr>
          <w:rFonts w:asciiTheme="minorHAnsi" w:hAnsiTheme="minorHAnsi" w:cs="Arial"/>
        </w:rPr>
        <w:br/>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E61E2C" w:rsidRPr="00742FF9" w:rsidP="00E61E2C" w14:paraId="4BB60F35" w14:textId="77777777">
      <w:pPr>
        <w:jc w:val="both"/>
        <w:rPr>
          <w:rFonts w:asciiTheme="minorHAnsi" w:hAnsiTheme="minorHAnsi" w:cs="Arial"/>
        </w:rPr>
      </w:pPr>
    </w:p>
    <w:p w:rsidR="00E61E2C" w:rsidP="00E61E2C" w14:paraId="22722FB5" w14:textId="77777777">
      <w:pPr>
        <w:jc w:val="both"/>
        <w:rPr>
          <w:rFonts w:asciiTheme="minorHAnsi" w:hAnsiTheme="minorHAnsi" w:cs="Arial"/>
        </w:rPr>
      </w:pPr>
      <w:r w:rsidRPr="005957CD">
        <w:rPr>
          <w:rFonts w:asciiTheme="minorHAnsi" w:hAnsiTheme="minorHAnsi" w:cs="Arial"/>
        </w:rPr>
        <w:t>Strategick</w:t>
      </w:r>
      <w:r>
        <w:rPr>
          <w:rFonts w:asciiTheme="minorHAnsi" w:hAnsiTheme="minorHAnsi" w:cs="Arial"/>
        </w:rPr>
        <w:t>ý</w:t>
      </w:r>
      <w:r w:rsidRPr="005957CD">
        <w:rPr>
          <w:rFonts w:asciiTheme="minorHAnsi" w:hAnsiTheme="minorHAnsi" w:cs="Arial"/>
        </w:rPr>
        <w:t xml:space="preserve"> rám</w:t>
      </w:r>
      <w:r>
        <w:rPr>
          <w:rFonts w:asciiTheme="minorHAnsi" w:hAnsiTheme="minorHAnsi" w:cs="Arial"/>
        </w:rPr>
        <w:t>ec</w:t>
      </w:r>
      <w:r w:rsidRPr="005957CD">
        <w:rPr>
          <w:rFonts w:asciiTheme="minorHAnsi" w:hAnsiTheme="minorHAnsi" w:cs="Arial"/>
        </w:rPr>
        <w:t xml:space="preserve"> Zdraví 203</w:t>
      </w:r>
      <w:r>
        <w:rPr>
          <w:rFonts w:asciiTheme="minorHAnsi" w:hAnsiTheme="minorHAnsi" w:cs="Arial"/>
        </w:rPr>
        <w:t>5</w:t>
      </w:r>
      <w:r w:rsidRPr="005957CD">
        <w:rPr>
          <w:rFonts w:asciiTheme="minorHAnsi" w:hAnsiTheme="minorHAnsi" w:cs="Arial"/>
        </w:rPr>
        <w:t xml:space="preserve"> plynule navazuje na Zdraví 2020 – Národní strategii ochrany </w:t>
      </w:r>
      <w:r>
        <w:rPr>
          <w:rFonts w:asciiTheme="minorHAnsi" w:hAnsiTheme="minorHAnsi" w:cs="Arial"/>
        </w:rPr>
        <w:t>a </w:t>
      </w:r>
      <w:r w:rsidRPr="005957CD">
        <w:rPr>
          <w:rFonts w:asciiTheme="minorHAnsi" w:hAnsiTheme="minorHAnsi" w:cs="Arial"/>
        </w:rPr>
        <w:t>podpory zdraví a prevence nemocí vč. příslušných akčních plánů a zkušeností z jejich implementace, a především na Strategický rámec Česká republika 2030 přijatý vládou ČR</w:t>
      </w:r>
      <w:r>
        <w:rPr>
          <w:rFonts w:asciiTheme="minorHAnsi" w:hAnsiTheme="minorHAnsi" w:cs="Arial"/>
        </w:rPr>
        <w:t xml:space="preserve"> dne </w:t>
      </w:r>
      <w:r w:rsidRPr="00E45BC0">
        <w:rPr>
          <w:rFonts w:asciiTheme="minorHAnsi" w:hAnsiTheme="minorHAnsi" w:cs="Arial"/>
        </w:rPr>
        <w:t>19. dubna 2017 usnesením č. 292</w:t>
      </w:r>
      <w:r w:rsidRPr="005957CD">
        <w:rPr>
          <w:rFonts w:asciiTheme="minorHAnsi" w:hAnsiTheme="minorHAnsi" w:cs="Arial"/>
        </w:rPr>
        <w:t xml:space="preserve">, </w:t>
      </w:r>
      <w:r>
        <w:rPr>
          <w:rFonts w:asciiTheme="minorHAnsi" w:hAnsiTheme="minorHAnsi" w:cs="Arial"/>
        </w:rPr>
        <w:t>j</w:t>
      </w:r>
      <w:r w:rsidRPr="005957CD">
        <w:rPr>
          <w:rFonts w:asciiTheme="minorHAnsi" w:hAnsiTheme="minorHAnsi" w:cs="Arial"/>
        </w:rPr>
        <w:t>ež svým rozhodnutím také určila základní zastřešující cíl pro oblast zdravotnictví „Zdraví všech skupin obyvatel se zlepšuje“.</w:t>
      </w:r>
    </w:p>
    <w:p w:rsidR="00E61E2C" w:rsidRPr="005957CD" w:rsidP="00E61E2C" w14:paraId="119D0939" w14:textId="77777777">
      <w:pPr>
        <w:jc w:val="both"/>
        <w:rPr>
          <w:rFonts w:asciiTheme="minorHAnsi" w:hAnsiTheme="minorHAnsi" w:cs="Arial"/>
        </w:rPr>
      </w:pPr>
    </w:p>
    <w:p w:rsidR="00E61E2C" w:rsidP="00E61E2C" w14:paraId="50779AB6" w14:textId="77777777">
      <w:pPr>
        <w:jc w:val="both"/>
        <w:rPr>
          <w:rFonts w:asciiTheme="minorHAnsi" w:hAnsiTheme="minorHAnsi" w:cs="Arial"/>
        </w:rPr>
      </w:pPr>
      <w:r w:rsidRPr="005957CD">
        <w:rPr>
          <w:rFonts w:asciiTheme="minorHAnsi" w:hAnsiTheme="minorHAnsi" w:cs="Arial"/>
        </w:rPr>
        <w:t>Strategický rámec Zdraví 203</w:t>
      </w:r>
      <w:r>
        <w:rPr>
          <w:rFonts w:asciiTheme="minorHAnsi" w:hAnsiTheme="minorHAnsi" w:cs="Arial"/>
        </w:rPr>
        <w:t>5</w:t>
      </w:r>
      <w:r w:rsidRPr="005957CD">
        <w:rPr>
          <w:rFonts w:asciiTheme="minorHAnsi" w:hAnsiTheme="minorHAnsi" w:cs="Arial"/>
        </w:rPr>
        <w:t xml:space="preserve"> tento zastřešující cíl rozpracovává do 3 strategických cílů, které byly formulovány s ohledem na analýzu zdravotního stavu obyvatel České republiky a dostupnosti i fungování českého zdravotnictví, a rovněž byly zvoleny jako základní prioritní oblasti resortu pro příštích deset let:</w:t>
      </w:r>
    </w:p>
    <w:p w:rsidR="00E61E2C" w:rsidRPr="005957CD" w:rsidP="00E61E2C" w14:paraId="17770B24" w14:textId="77777777">
      <w:pPr>
        <w:jc w:val="both"/>
        <w:rPr>
          <w:rFonts w:asciiTheme="minorHAnsi" w:hAnsiTheme="minorHAnsi" w:cs="Arial"/>
        </w:rPr>
      </w:pPr>
    </w:p>
    <w:p w:rsidR="00E61E2C" w:rsidRPr="005957CD" w:rsidP="00E61E2C" w14:paraId="4CF32172" w14:textId="77777777">
      <w:pPr>
        <w:pStyle w:val="ListParagraph"/>
        <w:numPr>
          <w:ilvl w:val="0"/>
          <w:numId w:val="12"/>
        </w:numPr>
        <w:jc w:val="both"/>
        <w:rPr>
          <w:rFonts w:asciiTheme="minorHAnsi" w:hAnsiTheme="minorHAnsi" w:cs="Arial"/>
        </w:rPr>
      </w:pPr>
      <w:r>
        <w:rPr>
          <w:rFonts w:asciiTheme="minorHAnsi" w:hAnsiTheme="minorHAnsi" w:cs="Arial"/>
        </w:rPr>
        <w:t xml:space="preserve">ochrana a </w:t>
      </w:r>
      <w:r w:rsidRPr="005957CD">
        <w:rPr>
          <w:rFonts w:asciiTheme="minorHAnsi" w:hAnsiTheme="minorHAnsi" w:cs="Arial"/>
        </w:rPr>
        <w:t>zlepšení zdravotního stavu populace</w:t>
      </w:r>
    </w:p>
    <w:p w:rsidR="00E61E2C" w:rsidRPr="005957CD" w:rsidP="00E61E2C" w14:paraId="2656E330"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optimalizace zdravotnického systému </w:t>
      </w:r>
    </w:p>
    <w:p w:rsidR="00E61E2C" w:rsidRPr="005957CD" w:rsidP="00E61E2C" w14:paraId="6E567AEE"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podpora vědy a výzkumu </w:t>
      </w:r>
    </w:p>
    <w:p w:rsidR="00E61E2C" w:rsidRPr="005957CD" w:rsidP="00E61E2C" w14:paraId="06B6FC24" w14:textId="77777777">
      <w:pPr>
        <w:jc w:val="both"/>
        <w:rPr>
          <w:rFonts w:asciiTheme="minorHAnsi" w:hAnsiTheme="minorHAnsi" w:cs="Arial"/>
        </w:rPr>
      </w:pPr>
    </w:p>
    <w:p w:rsidR="00E61E2C" w:rsidP="00E61E2C" w14:paraId="34F3B856" w14:textId="77777777">
      <w:pPr>
        <w:jc w:val="both"/>
        <w:rPr>
          <w:rFonts w:asciiTheme="minorHAnsi" w:hAnsiTheme="minorHAnsi" w:cs="Arial"/>
        </w:rPr>
      </w:pPr>
      <w:r w:rsidRPr="005957CD">
        <w:rPr>
          <w:rFonts w:asciiTheme="minorHAnsi" w:hAnsiTheme="minorHAnsi" w:cs="Arial"/>
        </w:rPr>
        <w:t>Tyto strategické cíle se dále rozpadají na specifick</w:t>
      </w:r>
      <w:r>
        <w:rPr>
          <w:rFonts w:asciiTheme="minorHAnsi" w:hAnsiTheme="minorHAnsi" w:cs="Arial"/>
        </w:rPr>
        <w:t>é</w:t>
      </w:r>
      <w:r w:rsidRPr="005957CD">
        <w:rPr>
          <w:rFonts w:asciiTheme="minorHAnsi" w:hAnsiTheme="minorHAnsi" w:cs="Arial"/>
        </w:rPr>
        <w:t xml:space="preserve"> cíl</w:t>
      </w:r>
      <w:r>
        <w:rPr>
          <w:rFonts w:asciiTheme="minorHAnsi" w:hAnsiTheme="minorHAnsi" w:cs="Arial"/>
        </w:rPr>
        <w:t>e, které podrobněji popisují jednotlivé dílčí cíle, opatření a aktivity, které vedou k jejich plnění</w:t>
      </w:r>
      <w:r w:rsidRPr="005957CD">
        <w:rPr>
          <w:rFonts w:asciiTheme="minorHAnsi" w:hAnsiTheme="minorHAnsi" w:cs="Arial"/>
        </w:rPr>
        <w:t>. Implementační plány představují hlavní prováděcí dokumenty Strategického rámce Zdraví 203</w:t>
      </w:r>
      <w:r>
        <w:rPr>
          <w:rFonts w:asciiTheme="minorHAnsi" w:hAnsiTheme="minorHAnsi" w:cs="Arial"/>
        </w:rPr>
        <w:t>5 a</w:t>
      </w:r>
      <w:r w:rsidRPr="005957CD">
        <w:rPr>
          <w:rFonts w:asciiTheme="minorHAnsi" w:hAnsiTheme="minorHAnsi" w:cs="Arial"/>
        </w:rPr>
        <w:t xml:space="preserve"> mohou být doplněny d</w:t>
      </w:r>
      <w:r>
        <w:rPr>
          <w:rFonts w:asciiTheme="minorHAnsi" w:hAnsiTheme="minorHAnsi" w:cs="Arial"/>
        </w:rPr>
        <w:t>alšími</w:t>
      </w:r>
      <w:r w:rsidRPr="005957CD">
        <w:rPr>
          <w:rFonts w:asciiTheme="minorHAnsi" w:hAnsiTheme="minorHAnsi" w:cs="Arial"/>
        </w:rPr>
        <w:t xml:space="preserve"> strategickými a prováděcími dokumenty, jako jsou národní akční plány či samostatné</w:t>
      </w:r>
      <w:r>
        <w:rPr>
          <w:rFonts w:asciiTheme="minorHAnsi" w:hAnsiTheme="minorHAnsi" w:cs="Arial"/>
        </w:rPr>
        <w:t xml:space="preserve"> dílčí</w:t>
      </w:r>
      <w:r w:rsidRPr="005957CD">
        <w:rPr>
          <w:rFonts w:asciiTheme="minorHAnsi" w:hAnsiTheme="minorHAnsi" w:cs="Arial"/>
        </w:rPr>
        <w:t xml:space="preserve"> strategie</w:t>
      </w:r>
      <w:r>
        <w:rPr>
          <w:rFonts w:asciiTheme="minorHAnsi" w:hAnsiTheme="minorHAnsi" w:cs="Arial"/>
        </w:rPr>
        <w:t xml:space="preserve"> a koncepce</w:t>
      </w:r>
      <w:r w:rsidRPr="005957CD">
        <w:rPr>
          <w:rFonts w:asciiTheme="minorHAnsi" w:hAnsiTheme="minorHAnsi" w:cs="Arial"/>
        </w:rPr>
        <w:t>.</w:t>
      </w:r>
    </w:p>
    <w:p w:rsidR="00E61E2C" w:rsidP="00E61E2C" w14:paraId="541CCD03" w14:textId="77777777">
      <w:pPr>
        <w:jc w:val="both"/>
        <w:rPr>
          <w:rFonts w:asciiTheme="minorHAnsi" w:hAnsiTheme="minorHAnsi" w:cs="Arial"/>
        </w:rPr>
      </w:pPr>
    </w:p>
    <w:p w:rsidR="00E61E2C" w:rsidRPr="00D619EE" w:rsidP="00E61E2C" w14:paraId="2D0321F0" w14:textId="77777777">
      <w:pPr>
        <w:jc w:val="both"/>
        <w:rPr>
          <w:rFonts w:asciiTheme="minorHAnsi" w:hAnsiTheme="minorHAnsi" w:cs="Arial"/>
        </w:rPr>
      </w:pPr>
    </w:p>
    <w:p w:rsidR="00E61E2C" w:rsidP="00E61E2C" w14:paraId="04F38B1F" w14:textId="77777777">
      <w:pPr>
        <w:jc w:val="both"/>
        <w:rPr>
          <w:rFonts w:asciiTheme="minorHAnsi" w:hAnsiTheme="minorHAnsi" w:cs="Arial"/>
        </w:rPr>
      </w:pPr>
    </w:p>
    <w:p w:rsidR="00E61E2C" w:rsidP="00E61E2C" w14:paraId="5F361B4C" w14:textId="77777777">
      <w:pPr>
        <w:jc w:val="both"/>
        <w:rPr>
          <w:rFonts w:asciiTheme="minorHAnsi" w:hAnsiTheme="minorHAnsi" w:cs="Arial"/>
        </w:rPr>
      </w:pPr>
    </w:p>
    <w:p w:rsidR="00E61E2C" w:rsidP="00E61E2C" w14:paraId="679A8476" w14:textId="77777777">
      <w:pPr>
        <w:jc w:val="both"/>
        <w:rPr>
          <w:rFonts w:asciiTheme="minorHAnsi" w:hAnsiTheme="minorHAnsi" w:cs="Arial"/>
        </w:rPr>
      </w:pPr>
    </w:p>
    <w:p w:rsidR="00E61E2C" w:rsidP="00E61E2C" w14:paraId="66BBEBD6" w14:textId="77777777">
      <w:pPr>
        <w:jc w:val="both"/>
        <w:rPr>
          <w:rFonts w:asciiTheme="minorHAnsi" w:hAnsiTheme="minorHAnsi" w:cs="Arial"/>
        </w:rPr>
      </w:pPr>
    </w:p>
    <w:p w:rsidR="00E61E2C" w:rsidP="00E61E2C" w14:paraId="628EAEB6" w14:textId="77777777">
      <w:pPr>
        <w:jc w:val="both"/>
        <w:rPr>
          <w:rFonts w:asciiTheme="minorHAnsi" w:hAnsiTheme="minorHAnsi" w:cs="Arial"/>
        </w:rPr>
      </w:pPr>
    </w:p>
    <w:p w:rsidR="00E61E2C" w:rsidP="00E61E2C" w14:paraId="78B5DFD8" w14:textId="77777777">
      <w:pPr>
        <w:jc w:val="both"/>
        <w:rPr>
          <w:rFonts w:asciiTheme="minorHAnsi" w:hAnsiTheme="minorHAnsi" w:cs="Arial"/>
        </w:rPr>
      </w:pPr>
    </w:p>
    <w:p w:rsidR="00E61E2C" w:rsidP="00E61E2C" w14:paraId="230220DF" w14:textId="77777777">
      <w:pPr>
        <w:jc w:val="both"/>
        <w:rPr>
          <w:rFonts w:asciiTheme="minorHAnsi" w:hAnsiTheme="minorHAnsi" w:cs="Arial"/>
        </w:rPr>
      </w:pPr>
    </w:p>
    <w:p w:rsidR="007708D1" w:rsidRPr="00923D98" w:rsidP="007708D1" w14:paraId="32FB1A64" w14:textId="4E3D9FEE">
      <w:pPr>
        <w:pStyle w:val="Caption"/>
        <w:rPr>
          <w:rFonts w:asciiTheme="minorHAnsi" w:hAnsiTheme="minorHAnsi" w:cstheme="minorHAnsi"/>
        </w:rPr>
      </w:pPr>
      <w:bookmarkStart w:id="225" w:name="_Toc256000010"/>
      <w:r w:rsidRPr="00923D98">
        <w:rPr>
          <w:rFonts w:asciiTheme="minorHAnsi" w:hAnsiTheme="minorHAnsi" w:cstheme="minorHAnsi"/>
        </w:rPr>
        <w:t xml:space="preserve">Obrázek </w:t>
      </w:r>
      <w:r w:rsidRPr="00923D98">
        <w:rPr>
          <w:rFonts w:asciiTheme="minorHAnsi" w:hAnsiTheme="minorHAnsi" w:cstheme="minorHAnsi"/>
        </w:rPr>
        <w:fldChar w:fldCharType="begin"/>
      </w:r>
      <w:r w:rsidRPr="00923D98">
        <w:rPr>
          <w:rFonts w:asciiTheme="minorHAnsi" w:hAnsiTheme="minorHAnsi" w:cstheme="minorHAnsi"/>
        </w:rPr>
        <w:instrText xml:space="preserve"> SEQ Obrázek \* ARABIC </w:instrText>
      </w:r>
      <w:r w:rsidRPr="00923D98">
        <w:rPr>
          <w:rFonts w:asciiTheme="minorHAnsi" w:hAnsiTheme="minorHAnsi" w:cstheme="minorHAnsi"/>
        </w:rPr>
        <w:fldChar w:fldCharType="separate"/>
      </w:r>
      <w:r w:rsidRPr="00923D98">
        <w:rPr>
          <w:rFonts w:asciiTheme="minorHAnsi" w:hAnsiTheme="minorHAnsi" w:cstheme="minorHAnsi"/>
        </w:rPr>
        <w:t>1</w:t>
      </w:r>
      <w:r w:rsidRPr="00923D98">
        <w:rPr>
          <w:rFonts w:asciiTheme="minorHAnsi" w:hAnsiTheme="minorHAnsi" w:cstheme="minorHAnsi"/>
        </w:rPr>
        <w:fldChar w:fldCharType="end"/>
      </w:r>
      <w:r w:rsidRPr="00923D98">
        <w:rPr>
          <w:rFonts w:asciiTheme="minorHAnsi" w:hAnsiTheme="minorHAnsi" w:cstheme="minorHAnsi"/>
        </w:rPr>
        <w:t xml:space="preserve"> Struktura specifických cílů Strategického rámce Zdraví 2035</w:t>
      </w:r>
      <w:bookmarkEnd w:id="225"/>
    </w:p>
    <w:p w:rsidR="00641CB3" w:rsidRPr="00923D98" w:rsidP="007708D1" w14:paraId="314CC8A3" w14:textId="0142ACFA">
      <w:pPr>
        <w:jc w:val="center"/>
        <w:rPr>
          <w:rFonts w:asciiTheme="minorHAnsi" w:hAnsiTheme="minorHAnsi" w:cstheme="minorHAnsi"/>
        </w:rPr>
      </w:pPr>
      <w:r>
        <w:rPr>
          <w:rFonts w:asciiTheme="minorHAnsi" w:hAnsiTheme="minorHAnsi" w:cstheme="minorHAnsi"/>
          <w:noProof/>
        </w:rPr>
        <w:drawing>
          <wp:inline distT="0" distB="0" distL="0" distR="0">
            <wp:extent cx="5296073" cy="7491095"/>
            <wp:effectExtent l="0" t="0" r="0" b="0"/>
            <wp:docPr id="1181669008" name="Obrázek 1" descr="Obsah obrázku text, snímek obrazovky, Písmo, Tisk&#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669008" name="Obrázek 1" descr="Obsah obrázku text, snímek obrazovky, Písmo, Tisk&#10;&#10;Obsah vygenerovaný umělou inteligencí může být nesprávný."/>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0" y="0"/>
                      <a:ext cx="5300136" cy="7496842"/>
                    </a:xfrm>
                    <a:prstGeom prst="rect">
                      <a:avLst/>
                    </a:prstGeom>
                  </pic:spPr>
                </pic:pic>
              </a:graphicData>
            </a:graphic>
          </wp:inline>
        </w:drawing>
      </w:r>
    </w:p>
    <w:p w:rsidR="00134DC4" w:rsidRPr="00923D98" w:rsidP="00407113" w14:paraId="33176D5A" w14:textId="776DD123">
      <w:pPr>
        <w:jc w:val="both"/>
        <w:rPr>
          <w:rFonts w:asciiTheme="minorHAnsi" w:hAnsiTheme="minorHAnsi" w:cstheme="minorHAnsi"/>
          <w:sz w:val="20"/>
          <w:szCs w:val="20"/>
        </w:rPr>
      </w:pPr>
      <w:r w:rsidRPr="00923D98">
        <w:rPr>
          <w:rFonts w:asciiTheme="minorHAnsi" w:hAnsiTheme="minorHAnsi" w:cstheme="minorHAnsi"/>
          <w:sz w:val="20"/>
          <w:szCs w:val="20"/>
        </w:rPr>
        <w:t>Zdroj: vlastní zpracování</w:t>
      </w:r>
    </w:p>
    <w:p w:rsidR="00E61E2C" w:rsidRPr="005957CD" w:rsidP="00E61E2C" w14:paraId="2FF01AEE" w14:textId="77777777">
      <w:pPr>
        <w:jc w:val="both"/>
        <w:rPr>
          <w:rFonts w:asciiTheme="minorHAnsi" w:hAnsiTheme="minorHAnsi" w:cs="Arial"/>
        </w:rPr>
      </w:pPr>
      <w:r w:rsidRPr="005957CD">
        <w:rPr>
          <w:rFonts w:asciiTheme="minorHAnsi" w:hAnsiTheme="minorHAnsi" w:cs="Arial"/>
        </w:rPr>
        <w:t xml:space="preserve">Specifické cíle jsou v rámci implementačních plánů rozpracovány na dílčí cíle, které formulují konkrétní kroky a aktivity, vedoucí k realizaci daného dílčího a tím i specifického (a strategického) cíle. Zároveň ale všechny dohromady pojímají zdravotní péči jako komplexní oblast, která reprezentuje zdraví jako esenciální podmínku prosperity jednotlivce i celé společnosti. </w:t>
      </w:r>
    </w:p>
    <w:p w:rsidR="00E61E2C" w:rsidRPr="005957CD" w:rsidP="00E61E2C" w14:paraId="2945D7CE" w14:textId="77777777">
      <w:pPr>
        <w:jc w:val="both"/>
        <w:rPr>
          <w:rFonts w:asciiTheme="minorHAnsi" w:hAnsiTheme="minorHAnsi" w:cs="Arial"/>
        </w:rPr>
      </w:pPr>
    </w:p>
    <w:p w:rsidR="00E61E2C" w:rsidRPr="005957CD" w:rsidP="00E61E2C" w14:paraId="7774CE47" w14:textId="77777777">
      <w:pPr>
        <w:jc w:val="both"/>
        <w:rPr>
          <w:rFonts w:asciiTheme="minorHAnsi" w:hAnsiTheme="minorHAnsi" w:cs="Arial"/>
        </w:rPr>
      </w:pPr>
      <w:r w:rsidRPr="005957CD">
        <w:rPr>
          <w:rFonts w:asciiTheme="minorHAnsi" w:hAnsiTheme="minorHAnsi" w:cs="Arial"/>
        </w:rPr>
        <w:t xml:space="preserve">Implementační plán dále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 </w:t>
      </w:r>
    </w:p>
    <w:p w:rsidR="00E61E2C" w:rsidRPr="00F2646F" w:rsidP="00E61E2C" w14:paraId="571A6ED4" w14:textId="77777777">
      <w:pPr>
        <w:jc w:val="both"/>
        <w:rPr>
          <w:rFonts w:asciiTheme="minorHAnsi" w:hAnsiTheme="minorHAnsi" w:cs="Arial"/>
        </w:rPr>
      </w:pPr>
    </w:p>
    <w:p w:rsidR="00E61E2C" w:rsidP="00E61E2C" w14:paraId="2C1AB0BB" w14:textId="2E98ACD5">
      <w:pPr>
        <w:jc w:val="both"/>
        <w:rPr>
          <w:rFonts w:asciiTheme="minorHAnsi" w:hAnsiTheme="minorHAnsi" w:cs="Arial"/>
        </w:rPr>
      </w:pPr>
      <w:r w:rsidRPr="005F2BB5">
        <w:rPr>
          <w:rFonts w:asciiTheme="minorHAnsi" w:hAnsiTheme="minorHAnsi" w:cs="Arial"/>
        </w:rPr>
        <w:t>Stejně jako samotný Strategický rámec Zdraví 203</w:t>
      </w:r>
      <w:r>
        <w:rPr>
          <w:rFonts w:asciiTheme="minorHAnsi" w:hAnsiTheme="minorHAnsi" w:cs="Arial"/>
        </w:rPr>
        <w:t>5</w:t>
      </w:r>
      <w:r w:rsidRPr="005F2BB5">
        <w:rPr>
          <w:rFonts w:asciiTheme="minorHAnsi" w:hAnsiTheme="minorHAnsi" w:cs="Arial"/>
        </w:rPr>
        <w:t xml:space="preserve"> je i implementační plán živým dokumentem, který reaguje na změny vnějšího prostředí a na poznatky z realizace a podle toho provádí jednotlivé aktivity. Důsledkem vývoje, reakce na nové poznatky </w:t>
      </w:r>
      <w:r>
        <w:rPr>
          <w:rFonts w:asciiTheme="minorHAnsi" w:hAnsiTheme="minorHAnsi" w:cs="Arial"/>
        </w:rPr>
        <w:br/>
      </w:r>
      <w:r w:rsidRPr="005F2BB5">
        <w:rPr>
          <w:rFonts w:asciiTheme="minorHAnsi" w:hAnsiTheme="minorHAnsi" w:cs="Arial"/>
        </w:rPr>
        <w:t>či na identifikovanou potřebu, mohou být změnová opatření, jež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 xml:space="preserve">Na základě Zprávy o průběhu implementace za roky 2023-2024 bylo rozhodnuto o takovéto aktualizaci s ohledem na nové výzvy a zjištění, že některá opatření nebyla nadefinována tak, aby dostatečně reagovala na danou problematiku. </w:t>
      </w:r>
    </w:p>
    <w:p w:rsidR="00E61E2C" w:rsidP="00E61E2C" w14:paraId="689DD7FA" w14:textId="77777777">
      <w:pPr>
        <w:jc w:val="both"/>
        <w:rPr>
          <w:rFonts w:asciiTheme="minorHAnsi" w:hAnsiTheme="minorHAnsi" w:cs="Arial"/>
        </w:rPr>
      </w:pPr>
    </w:p>
    <w:p w:rsidR="00B95793" w:rsidRPr="00923D98" w:rsidP="00CE5998" w14:paraId="6FC3ED32" w14:textId="2D3C5853">
      <w:pPr>
        <w:rPr>
          <w:rFonts w:asciiTheme="minorHAnsi" w:hAnsiTheme="minorHAnsi" w:cstheme="minorHAnsi"/>
        </w:rPr>
      </w:pPr>
      <w:r w:rsidRPr="00923D98">
        <w:rPr>
          <w:rFonts w:asciiTheme="minorHAnsi" w:hAnsiTheme="minorHAnsi" w:cstheme="minorHAnsi"/>
        </w:rPr>
        <w:t>Dosažení specifického cíle bude realizováno prostřednictvím sedmi dílčích cílů.</w:t>
      </w:r>
    </w:p>
    <w:p w:rsidR="00B95793" w:rsidRPr="00923D98" w:rsidP="00B95793" w14:paraId="4A6F7799" w14:textId="20EC21B7">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r>
      <w:r w:rsidRPr="00923D98">
        <w:rPr>
          <w:rFonts w:asciiTheme="minorHAnsi" w:hAnsiTheme="minorHAnsi" w:cstheme="minorHAnsi"/>
          <w:b/>
          <w:bCs/>
        </w:rPr>
        <w:t xml:space="preserve">1.3.1 </w:t>
      </w:r>
      <w:r w:rsidRPr="00923D98" w:rsidR="006417E5">
        <w:rPr>
          <w:rFonts w:asciiTheme="minorHAnsi" w:hAnsiTheme="minorHAnsi" w:cstheme="minorHAnsi"/>
          <w:b/>
          <w:bCs/>
        </w:rPr>
        <w:t>Implementovat unijní právní předpisy a stabilizovat řízení zásob léčiv</w:t>
      </w:r>
      <w:r w:rsidRPr="00923D98">
        <w:rPr>
          <w:rFonts w:asciiTheme="minorHAnsi" w:hAnsiTheme="minorHAnsi" w:cstheme="minorHAnsi"/>
        </w:rPr>
        <w:t xml:space="preserve">. </w:t>
      </w:r>
      <w:r w:rsidRPr="00923D98" w:rsidR="00EC392B">
        <w:rPr>
          <w:rFonts w:asciiTheme="minorHAnsi" w:hAnsiTheme="minorHAnsi" w:cstheme="minorHAnsi"/>
        </w:rPr>
        <w:t>Obsahem je zejména r</w:t>
      </w:r>
      <w:r w:rsidRPr="00923D98">
        <w:rPr>
          <w:rFonts w:asciiTheme="minorHAnsi" w:hAnsiTheme="minorHAnsi" w:cstheme="minorHAnsi"/>
        </w:rPr>
        <w:t>eforma legislativy s důrazem na nové směrnice a nařízení v oblasti léčiv, včetně</w:t>
      </w:r>
      <w:r w:rsidRPr="00923D98" w:rsidR="009143BC">
        <w:rPr>
          <w:rFonts w:asciiTheme="minorHAnsi" w:hAnsiTheme="minorHAnsi" w:cstheme="minorHAnsi"/>
        </w:rPr>
        <w:t xml:space="preserve"> kriticky důležitých léčiv a</w:t>
      </w:r>
      <w:r w:rsidRPr="00923D98">
        <w:rPr>
          <w:rFonts w:asciiTheme="minorHAnsi" w:hAnsiTheme="minorHAnsi" w:cstheme="minorHAnsi"/>
        </w:rPr>
        <w:t xml:space="preserve"> revize </w:t>
      </w:r>
      <w:r w:rsidRPr="00923D98" w:rsidR="009143BC">
        <w:rPr>
          <w:rFonts w:asciiTheme="minorHAnsi" w:hAnsiTheme="minorHAnsi" w:cstheme="minorHAnsi"/>
        </w:rPr>
        <w:t xml:space="preserve">předpisů upravující léčivé přípravky určená </w:t>
      </w:r>
      <w:r w:rsidRPr="00923D98">
        <w:rPr>
          <w:rFonts w:asciiTheme="minorHAnsi" w:hAnsiTheme="minorHAnsi" w:cstheme="minorHAnsi"/>
        </w:rPr>
        <w:t>pro vzácná onemocnění a pediatrii.</w:t>
      </w:r>
      <w:r w:rsidRPr="00923D98" w:rsidR="009143BC">
        <w:rPr>
          <w:rFonts w:asciiTheme="minorHAnsi" w:hAnsiTheme="minorHAnsi" w:cstheme="minorHAnsi"/>
        </w:rPr>
        <w:t xml:space="preserve"> Součástí tohoto cíle je aktivní využívání nástrojů směřujících k vytvoření a udržování zásob léčivých přípravků a řízení jejich uvolňování do distribučního řetězce. Očekávané náklady na rezervace významných léčiv: 7 mld. Kč (2026–2031) + 1 mld. Kč na zásoby v systému rezervních zásob.</w:t>
      </w:r>
    </w:p>
    <w:p w:rsidR="00B95793" w:rsidRPr="00923D98" w:rsidP="00B95793" w14:paraId="314BF9BB" w14:textId="4A5B0A8B">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r>
      <w:r w:rsidRPr="00923D98">
        <w:rPr>
          <w:rFonts w:asciiTheme="minorHAnsi" w:hAnsiTheme="minorHAnsi" w:cstheme="minorHAnsi"/>
          <w:b/>
          <w:bCs/>
        </w:rPr>
        <w:t xml:space="preserve">1.3.2 </w:t>
      </w:r>
      <w:r w:rsidRPr="00923D98" w:rsidR="00FE501A">
        <w:rPr>
          <w:rFonts w:asciiTheme="minorHAnsi" w:hAnsiTheme="minorHAnsi" w:cstheme="minorHAnsi"/>
          <w:b/>
          <w:bCs/>
        </w:rPr>
        <w:t>Zavést systém monitoringu léčiv</w:t>
      </w:r>
      <w:r w:rsidRPr="00923D98">
        <w:rPr>
          <w:rFonts w:asciiTheme="minorHAnsi" w:hAnsiTheme="minorHAnsi" w:cstheme="minorHAnsi"/>
          <w:b/>
          <w:bCs/>
        </w:rPr>
        <w:t>.</w:t>
      </w:r>
      <w:r w:rsidRPr="00923D98">
        <w:rPr>
          <w:rFonts w:asciiTheme="minorHAnsi" w:hAnsiTheme="minorHAnsi" w:cstheme="minorHAnsi"/>
        </w:rPr>
        <w:t xml:space="preserve"> </w:t>
      </w:r>
      <w:r w:rsidRPr="00923D98" w:rsidR="00EC392B">
        <w:rPr>
          <w:rFonts w:asciiTheme="minorHAnsi" w:hAnsiTheme="minorHAnsi" w:cstheme="minorHAnsi"/>
        </w:rPr>
        <w:t xml:space="preserve">V rámci implementace bude důraz na </w:t>
      </w:r>
      <w:r w:rsidRPr="00923D98" w:rsidR="00F818EF">
        <w:rPr>
          <w:rFonts w:asciiTheme="minorHAnsi" w:hAnsiTheme="minorHAnsi" w:cstheme="minorHAnsi"/>
        </w:rPr>
        <w:t xml:space="preserve">zajištění </w:t>
      </w:r>
      <w:r w:rsidRPr="00923D98" w:rsidR="00EC392B">
        <w:rPr>
          <w:rFonts w:asciiTheme="minorHAnsi" w:hAnsiTheme="minorHAnsi" w:cstheme="minorHAnsi"/>
        </w:rPr>
        <w:t>s</w:t>
      </w:r>
      <w:r w:rsidRPr="00923D98">
        <w:rPr>
          <w:rFonts w:asciiTheme="minorHAnsi" w:hAnsiTheme="minorHAnsi" w:cstheme="minorHAnsi"/>
        </w:rPr>
        <w:t>běr</w:t>
      </w:r>
      <w:r w:rsidRPr="00923D98" w:rsidR="00F818EF">
        <w:rPr>
          <w:rFonts w:asciiTheme="minorHAnsi" w:hAnsiTheme="minorHAnsi" w:cstheme="minorHAnsi"/>
        </w:rPr>
        <w:t>u</w:t>
      </w:r>
      <w:r w:rsidRPr="00923D98">
        <w:rPr>
          <w:rFonts w:asciiTheme="minorHAnsi" w:hAnsiTheme="minorHAnsi" w:cstheme="minorHAnsi"/>
        </w:rPr>
        <w:t xml:space="preserve"> dat o dostupnosti všech léčiv, zvýšení frekvence </w:t>
      </w:r>
      <w:r w:rsidRPr="00923D98" w:rsidR="00F818EF">
        <w:rPr>
          <w:rFonts w:asciiTheme="minorHAnsi" w:hAnsiTheme="minorHAnsi" w:cstheme="minorHAnsi"/>
        </w:rPr>
        <w:t xml:space="preserve">tohoto </w:t>
      </w:r>
      <w:r w:rsidRPr="00923D98">
        <w:rPr>
          <w:rFonts w:asciiTheme="minorHAnsi" w:hAnsiTheme="minorHAnsi" w:cstheme="minorHAnsi"/>
        </w:rPr>
        <w:t>sběru</w:t>
      </w:r>
      <w:r w:rsidRPr="00923D98" w:rsidR="00145CDB">
        <w:rPr>
          <w:rFonts w:asciiTheme="minorHAnsi" w:hAnsiTheme="minorHAnsi" w:cstheme="minorHAnsi"/>
        </w:rPr>
        <w:t xml:space="preserve"> a na zajištění komplexních informací </w:t>
      </w:r>
      <w:r w:rsidRPr="00923D98">
        <w:rPr>
          <w:rFonts w:asciiTheme="minorHAnsi" w:hAnsiTheme="minorHAnsi" w:cstheme="minorHAnsi"/>
        </w:rPr>
        <w:t>o zásobách v lékárnách. Očekávané náklady na rozvoj eReceptu: 20 milionů Kč (2028–2030).</w:t>
      </w:r>
    </w:p>
    <w:p w:rsidR="00B95793" w:rsidRPr="00923D98" w:rsidP="00B95793" w14:paraId="4AB849E8" w14:textId="4DE49BDA">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r>
      <w:r w:rsidRPr="00923D98">
        <w:rPr>
          <w:rFonts w:asciiTheme="minorHAnsi" w:hAnsiTheme="minorHAnsi" w:cstheme="minorHAnsi"/>
          <w:b/>
          <w:bCs/>
        </w:rPr>
        <w:t xml:space="preserve">1.3.3 </w:t>
      </w:r>
      <w:r w:rsidRPr="00923D98" w:rsidR="003D21AA">
        <w:rPr>
          <w:rFonts w:asciiTheme="minorHAnsi" w:hAnsiTheme="minorHAnsi" w:cstheme="minorHAnsi"/>
          <w:b/>
          <w:bCs/>
        </w:rPr>
        <w:t>Zvýšit aktivní zapojení stakeholderů</w:t>
      </w:r>
      <w:r w:rsidRPr="00923D98">
        <w:rPr>
          <w:rFonts w:asciiTheme="minorHAnsi" w:hAnsiTheme="minorHAnsi" w:cstheme="minorHAnsi"/>
          <w:b/>
          <w:bCs/>
        </w:rPr>
        <w:t>.</w:t>
      </w:r>
      <w:r w:rsidRPr="00923D98">
        <w:rPr>
          <w:rFonts w:asciiTheme="minorHAnsi" w:hAnsiTheme="minorHAnsi" w:cstheme="minorHAnsi"/>
        </w:rPr>
        <w:t xml:space="preserve"> </w:t>
      </w:r>
      <w:r w:rsidRPr="00923D98" w:rsidR="00145CDB">
        <w:rPr>
          <w:rFonts w:asciiTheme="minorHAnsi" w:hAnsiTheme="minorHAnsi" w:cstheme="minorHAnsi"/>
        </w:rPr>
        <w:t>Bude nastaveno j</w:t>
      </w:r>
      <w:r w:rsidRPr="00923D98">
        <w:rPr>
          <w:rFonts w:asciiTheme="minorHAnsi" w:hAnsiTheme="minorHAnsi" w:cstheme="minorHAnsi"/>
        </w:rPr>
        <w:t xml:space="preserve">asné vymezení spoluzodpovědnosti všech stran za dostupnost léčiv, hlavně zdravotních pojišťoven, které od roku 2026 budou mít možnost centrálně zadávat veřejné zakázky na nové i dosud nehrazené léčivé přípravky. </w:t>
      </w:r>
      <w:r w:rsidRPr="00923D98" w:rsidR="00D6722F">
        <w:rPr>
          <w:rFonts w:asciiTheme="minorHAnsi" w:hAnsiTheme="minorHAnsi" w:cstheme="minorHAnsi"/>
        </w:rPr>
        <w:t>Součástí bude i l</w:t>
      </w:r>
      <w:r w:rsidRPr="00923D98">
        <w:rPr>
          <w:rFonts w:asciiTheme="minorHAnsi" w:hAnsiTheme="minorHAnsi" w:cstheme="minorHAnsi"/>
        </w:rPr>
        <w:t>egislativní ukotvení povinností dodavatelů ve vztahu k</w:t>
      </w:r>
      <w:r w:rsidRPr="00923D98" w:rsidR="00D6722F">
        <w:rPr>
          <w:rFonts w:asciiTheme="minorHAnsi" w:hAnsiTheme="minorHAnsi" w:cstheme="minorHAnsi"/>
        </w:rPr>
        <w:t> </w:t>
      </w:r>
      <w:r w:rsidRPr="00923D98">
        <w:rPr>
          <w:rFonts w:asciiTheme="minorHAnsi" w:hAnsiTheme="minorHAnsi" w:cstheme="minorHAnsi"/>
        </w:rPr>
        <w:t>množství a intervalům dodávek.</w:t>
      </w:r>
    </w:p>
    <w:p w:rsidR="00B95793" w:rsidRPr="00923D98" w:rsidP="00B95793" w14:paraId="1AF8345B" w14:textId="67667B63">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r>
      <w:r w:rsidRPr="00923D98">
        <w:rPr>
          <w:rFonts w:asciiTheme="minorHAnsi" w:hAnsiTheme="minorHAnsi" w:cstheme="minorHAnsi"/>
          <w:b/>
          <w:bCs/>
        </w:rPr>
        <w:t xml:space="preserve">1.3.4 </w:t>
      </w:r>
      <w:r w:rsidRPr="00923D98" w:rsidR="0059751D">
        <w:rPr>
          <w:rFonts w:asciiTheme="minorHAnsi" w:hAnsiTheme="minorHAnsi" w:cstheme="minorHAnsi"/>
          <w:b/>
          <w:bCs/>
        </w:rPr>
        <w:t>Modernizovat způsoby výdeje léčiv</w:t>
      </w:r>
      <w:r w:rsidRPr="00923D98">
        <w:rPr>
          <w:rFonts w:asciiTheme="minorHAnsi" w:hAnsiTheme="minorHAnsi" w:cstheme="minorHAnsi"/>
          <w:b/>
          <w:bCs/>
        </w:rPr>
        <w:t>.</w:t>
      </w:r>
      <w:r w:rsidRPr="00923D98">
        <w:rPr>
          <w:rFonts w:asciiTheme="minorHAnsi" w:hAnsiTheme="minorHAnsi" w:cstheme="minorHAnsi"/>
        </w:rPr>
        <w:t xml:space="preserve"> </w:t>
      </w:r>
      <w:r w:rsidRPr="00923D98" w:rsidR="00F72951">
        <w:rPr>
          <w:rFonts w:asciiTheme="minorHAnsi" w:hAnsiTheme="minorHAnsi" w:cstheme="minorHAnsi"/>
        </w:rPr>
        <w:t xml:space="preserve">Opatření </w:t>
      </w:r>
      <w:r w:rsidRPr="00923D98" w:rsidR="0058733F">
        <w:rPr>
          <w:rFonts w:asciiTheme="minorHAnsi" w:hAnsiTheme="minorHAnsi" w:cstheme="minorHAnsi"/>
        </w:rPr>
        <w:t xml:space="preserve">tohoto dílčího cíle </w:t>
      </w:r>
      <w:r w:rsidRPr="00923D98" w:rsidR="00F72951">
        <w:rPr>
          <w:rFonts w:asciiTheme="minorHAnsi" w:hAnsiTheme="minorHAnsi" w:cstheme="minorHAnsi"/>
        </w:rPr>
        <w:t xml:space="preserve">budou zaměřena na zavedení zásilkového výdeje </w:t>
      </w:r>
      <w:r w:rsidRPr="00923D98">
        <w:rPr>
          <w:rFonts w:asciiTheme="minorHAnsi" w:hAnsiTheme="minorHAnsi" w:cstheme="minorHAnsi"/>
        </w:rPr>
        <w:t>a emergentní</w:t>
      </w:r>
      <w:r w:rsidRPr="00923D98" w:rsidR="00F72951">
        <w:rPr>
          <w:rFonts w:asciiTheme="minorHAnsi" w:hAnsiTheme="minorHAnsi" w:cstheme="minorHAnsi"/>
        </w:rPr>
        <w:t>ho</w:t>
      </w:r>
      <w:r w:rsidRPr="00923D98">
        <w:rPr>
          <w:rFonts w:asciiTheme="minorHAnsi" w:hAnsiTheme="minorHAnsi" w:cstheme="minorHAnsi"/>
        </w:rPr>
        <w:t xml:space="preserve"> výdej</w:t>
      </w:r>
      <w:r w:rsidRPr="00923D98" w:rsidR="00F72951">
        <w:rPr>
          <w:rFonts w:asciiTheme="minorHAnsi" w:hAnsiTheme="minorHAnsi" w:cstheme="minorHAnsi"/>
        </w:rPr>
        <w:t>e</w:t>
      </w:r>
      <w:r w:rsidRPr="00923D98">
        <w:rPr>
          <w:rFonts w:asciiTheme="minorHAnsi" w:hAnsiTheme="minorHAnsi" w:cstheme="minorHAnsi"/>
        </w:rPr>
        <w:t xml:space="preserve"> léčiv, které </w:t>
      </w:r>
      <w:r w:rsidRPr="00923D98">
        <w:rPr>
          <w:rFonts w:asciiTheme="minorHAnsi" w:hAnsiTheme="minorHAnsi" w:cstheme="minorHAnsi"/>
        </w:rPr>
        <w:t>zlepší</w:t>
      </w:r>
      <w:r w:rsidRPr="00923D98">
        <w:rPr>
          <w:rFonts w:asciiTheme="minorHAnsi" w:hAnsiTheme="minorHAnsi" w:cstheme="minorHAnsi"/>
        </w:rPr>
        <w:t xml:space="preserve"> dostupnost pro pacienty, včetně hendikepovaných. </w:t>
      </w:r>
      <w:r w:rsidRPr="00923D98" w:rsidR="00B817AD">
        <w:rPr>
          <w:rFonts w:asciiTheme="minorHAnsi" w:hAnsiTheme="minorHAnsi" w:cstheme="minorHAnsi"/>
        </w:rPr>
        <w:t>Odhadované</w:t>
      </w:r>
      <w:r w:rsidRPr="00923D98">
        <w:rPr>
          <w:rFonts w:asciiTheme="minorHAnsi" w:hAnsiTheme="minorHAnsi" w:cstheme="minorHAnsi"/>
        </w:rPr>
        <w:t xml:space="preserve"> náklady: 100 milionů Kč.</w:t>
      </w:r>
    </w:p>
    <w:p w:rsidR="00B95793" w:rsidRPr="00923D98" w:rsidP="00B95793" w14:paraId="3EFD5030" w14:textId="5F0EC95C">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r>
      <w:r w:rsidRPr="00923D98">
        <w:rPr>
          <w:rFonts w:asciiTheme="minorHAnsi" w:hAnsiTheme="minorHAnsi" w:cstheme="minorHAnsi"/>
          <w:b/>
          <w:bCs/>
        </w:rPr>
        <w:t xml:space="preserve">1.3.5 </w:t>
      </w:r>
      <w:r w:rsidRPr="00923D98" w:rsidR="00A20630">
        <w:rPr>
          <w:rFonts w:asciiTheme="minorHAnsi" w:hAnsiTheme="minorHAnsi" w:cstheme="minorHAnsi"/>
          <w:b/>
          <w:bCs/>
        </w:rPr>
        <w:t>Zvýšit hospodářskou podporu výroby léčiv</w:t>
      </w:r>
      <w:r w:rsidRPr="00923D98">
        <w:rPr>
          <w:rFonts w:asciiTheme="minorHAnsi" w:hAnsiTheme="minorHAnsi" w:cstheme="minorHAnsi"/>
          <w:b/>
          <w:bCs/>
        </w:rPr>
        <w:t>.</w:t>
      </w:r>
      <w:r w:rsidRPr="00923D98">
        <w:rPr>
          <w:rFonts w:asciiTheme="minorHAnsi" w:hAnsiTheme="minorHAnsi" w:cstheme="minorHAnsi"/>
        </w:rPr>
        <w:t xml:space="preserve"> </w:t>
      </w:r>
      <w:r w:rsidRPr="00923D98" w:rsidR="0058733F">
        <w:rPr>
          <w:rFonts w:asciiTheme="minorHAnsi" w:hAnsiTheme="minorHAnsi" w:cstheme="minorHAnsi"/>
        </w:rPr>
        <w:t xml:space="preserve">Dílčí cíl, který je </w:t>
      </w:r>
      <w:r w:rsidRPr="00923D98" w:rsidR="00631A18">
        <w:rPr>
          <w:rFonts w:asciiTheme="minorHAnsi" w:hAnsiTheme="minorHAnsi" w:cstheme="minorHAnsi"/>
        </w:rPr>
        <w:t xml:space="preserve">rovněž součástí Hospodářské strategie České republiky, zahrnuje opatření vedoucí </w:t>
      </w:r>
      <w:r w:rsidRPr="00923D98" w:rsidR="00214379">
        <w:rPr>
          <w:rFonts w:asciiTheme="minorHAnsi" w:hAnsiTheme="minorHAnsi" w:cstheme="minorHAnsi"/>
        </w:rPr>
        <w:t>k posílení</w:t>
      </w:r>
      <w:r w:rsidRPr="00923D98">
        <w:rPr>
          <w:rFonts w:asciiTheme="minorHAnsi" w:hAnsiTheme="minorHAnsi" w:cstheme="minorHAnsi"/>
        </w:rPr>
        <w:t xml:space="preserve"> soběstačnosti ve výrobě léčiv a aktivních ingrediencí (API), zřízení sektorových specialistů, zpracování Národního plánu pro farmaceutický průmysl, investiční pobídky. </w:t>
      </w:r>
    </w:p>
    <w:p w:rsidR="00B95793" w:rsidRPr="00923D98" w:rsidP="00B95793" w14:paraId="16FA2612" w14:textId="4421DFC1">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r>
      <w:r w:rsidRPr="00923D98">
        <w:rPr>
          <w:rFonts w:asciiTheme="minorHAnsi" w:hAnsiTheme="minorHAnsi" w:cstheme="minorHAnsi"/>
          <w:b/>
          <w:bCs/>
        </w:rPr>
        <w:t xml:space="preserve">1.3.6 </w:t>
      </w:r>
      <w:r w:rsidRPr="00923D98" w:rsidR="00C2710D">
        <w:rPr>
          <w:rFonts w:asciiTheme="minorHAnsi" w:hAnsiTheme="minorHAnsi" w:cstheme="minorHAnsi"/>
          <w:b/>
          <w:bCs/>
        </w:rPr>
        <w:t>Stabilizovat finanční udržitelnost lékové politiky</w:t>
      </w:r>
      <w:r w:rsidRPr="00923D98">
        <w:rPr>
          <w:rFonts w:asciiTheme="minorHAnsi" w:hAnsiTheme="minorHAnsi" w:cstheme="minorHAnsi"/>
          <w:b/>
          <w:bCs/>
        </w:rPr>
        <w:t>.</w:t>
      </w:r>
      <w:r w:rsidRPr="00923D98">
        <w:rPr>
          <w:rFonts w:asciiTheme="minorHAnsi" w:hAnsiTheme="minorHAnsi" w:cstheme="minorHAnsi"/>
        </w:rPr>
        <w:t xml:space="preserve"> </w:t>
      </w:r>
      <w:r w:rsidRPr="00923D98" w:rsidR="00214379">
        <w:rPr>
          <w:rFonts w:asciiTheme="minorHAnsi" w:hAnsiTheme="minorHAnsi" w:cstheme="minorHAnsi"/>
        </w:rPr>
        <w:t>Dílčí cíl obsahuje opatření pro</w:t>
      </w:r>
      <w:r w:rsidRPr="00923D98">
        <w:rPr>
          <w:rFonts w:asciiTheme="minorHAnsi" w:hAnsiTheme="minorHAnsi" w:cstheme="minorHAnsi"/>
        </w:rPr>
        <w:t xml:space="preserve"> rychlejší vstup generik na trh, změny cenové regulace, efektivnější využití prostředků zdravotního pojištění. </w:t>
      </w:r>
      <w:r w:rsidRPr="00923D98" w:rsidR="00214379">
        <w:rPr>
          <w:rFonts w:asciiTheme="minorHAnsi" w:hAnsiTheme="minorHAnsi" w:cstheme="minorHAnsi"/>
        </w:rPr>
        <w:t xml:space="preserve">Rovněž zahrnuje podporu </w:t>
      </w:r>
      <w:r w:rsidRPr="00923D98">
        <w:rPr>
          <w:rFonts w:asciiTheme="minorHAnsi" w:hAnsiTheme="minorHAnsi" w:cstheme="minorHAnsi"/>
        </w:rPr>
        <w:t>domácí výroby generických přípravků</w:t>
      </w:r>
      <w:r w:rsidRPr="00923D98" w:rsidR="00214379">
        <w:rPr>
          <w:rFonts w:asciiTheme="minorHAnsi" w:hAnsiTheme="minorHAnsi" w:cstheme="minorHAnsi"/>
        </w:rPr>
        <w:t xml:space="preserve"> a</w:t>
      </w:r>
      <w:r w:rsidRPr="00923D98" w:rsidR="00722105">
        <w:rPr>
          <w:rFonts w:asciiTheme="minorHAnsi" w:hAnsiTheme="minorHAnsi" w:cstheme="minorHAnsi"/>
        </w:rPr>
        <w:t> </w:t>
      </w:r>
      <w:r w:rsidRPr="00923D98" w:rsidR="00214379">
        <w:rPr>
          <w:rFonts w:asciiTheme="minorHAnsi" w:hAnsiTheme="minorHAnsi" w:cstheme="minorHAnsi"/>
        </w:rPr>
        <w:t xml:space="preserve">přispění ke </w:t>
      </w:r>
      <w:r w:rsidRPr="00923D98">
        <w:rPr>
          <w:rFonts w:asciiTheme="minorHAnsi" w:hAnsiTheme="minorHAnsi" w:cstheme="minorHAnsi"/>
        </w:rPr>
        <w:t>snížení vnější závislosti.</w:t>
      </w:r>
    </w:p>
    <w:p w:rsidR="00B95793" w:rsidRPr="00923D98" w:rsidP="00B95793" w14:paraId="159331D8" w14:textId="4640D623">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r>
      <w:r w:rsidRPr="00923D98">
        <w:rPr>
          <w:rFonts w:asciiTheme="minorHAnsi" w:hAnsiTheme="minorHAnsi" w:cstheme="minorHAnsi"/>
          <w:b/>
          <w:bCs/>
        </w:rPr>
        <w:t>1.3.</w:t>
      </w:r>
      <w:r w:rsidRPr="00923D98" w:rsidR="004C4E6B">
        <w:rPr>
          <w:rFonts w:asciiTheme="minorHAnsi" w:hAnsiTheme="minorHAnsi" w:cstheme="minorHAnsi"/>
          <w:b/>
          <w:bCs/>
        </w:rPr>
        <w:t>7</w:t>
      </w:r>
      <w:r w:rsidRPr="00923D98">
        <w:rPr>
          <w:rFonts w:asciiTheme="minorHAnsi" w:hAnsiTheme="minorHAnsi" w:cstheme="minorHAnsi"/>
          <w:b/>
          <w:bCs/>
        </w:rPr>
        <w:t xml:space="preserve"> </w:t>
      </w:r>
      <w:r w:rsidRPr="00923D98" w:rsidR="000359D6">
        <w:rPr>
          <w:rFonts w:asciiTheme="minorHAnsi" w:hAnsiTheme="minorHAnsi" w:cstheme="minorHAnsi"/>
          <w:b/>
          <w:bCs/>
        </w:rPr>
        <w:t>Zajistit rozvoj kapacit správních úřadů v oblasti lékové politiky státu</w:t>
      </w:r>
      <w:r w:rsidRPr="00923D98">
        <w:rPr>
          <w:rFonts w:asciiTheme="minorHAnsi" w:hAnsiTheme="minorHAnsi" w:cstheme="minorHAnsi"/>
          <w:b/>
          <w:bCs/>
        </w:rPr>
        <w:t>.</w:t>
      </w:r>
      <w:r w:rsidRPr="00923D98">
        <w:rPr>
          <w:rFonts w:asciiTheme="minorHAnsi" w:hAnsiTheme="minorHAnsi" w:cstheme="minorHAnsi"/>
        </w:rPr>
        <w:t xml:space="preserve"> </w:t>
      </w:r>
      <w:r w:rsidRPr="00923D98" w:rsidR="00214379">
        <w:rPr>
          <w:rFonts w:asciiTheme="minorHAnsi" w:hAnsiTheme="minorHAnsi" w:cstheme="minorHAnsi"/>
        </w:rPr>
        <w:t xml:space="preserve">Jedná se o cíl </w:t>
      </w:r>
      <w:r w:rsidRPr="00923D98" w:rsidR="0071196F">
        <w:rPr>
          <w:rFonts w:asciiTheme="minorHAnsi" w:hAnsiTheme="minorHAnsi" w:cstheme="minorHAnsi"/>
        </w:rPr>
        <w:t xml:space="preserve">vedoucí k modernizaci a rozvoji </w:t>
      </w:r>
      <w:r w:rsidRPr="00923D98">
        <w:rPr>
          <w:rFonts w:asciiTheme="minorHAnsi" w:hAnsiTheme="minorHAnsi" w:cstheme="minorHAnsi"/>
        </w:rPr>
        <w:t xml:space="preserve">Státního ústavu pro kontrolu léčiv a </w:t>
      </w:r>
      <w:r w:rsidRPr="00923D98" w:rsidR="0071196F">
        <w:rPr>
          <w:rFonts w:asciiTheme="minorHAnsi" w:hAnsiTheme="minorHAnsi" w:cstheme="minorHAnsi"/>
        </w:rPr>
        <w:t xml:space="preserve">příslušných útvarů </w:t>
      </w:r>
      <w:r w:rsidRPr="00923D98">
        <w:rPr>
          <w:rFonts w:asciiTheme="minorHAnsi" w:hAnsiTheme="minorHAnsi" w:cstheme="minorHAnsi"/>
        </w:rPr>
        <w:t>Ministerstva zdravotnictví, navýšení personálních kapacit, budování nových prostor. Odhadované náklady: 1,5 mld. Kč (2026–2035).</w:t>
      </w:r>
    </w:p>
    <w:p w:rsidR="00B95793" w:rsidRPr="00923D98" w:rsidP="0071196F" w14:paraId="4AEBF2E0" w14:textId="596DD25A">
      <w:pPr>
        <w:shd w:val="clear" w:color="auto" w:fill="FDFDFD"/>
        <w:spacing w:after="120"/>
        <w:jc w:val="both"/>
        <w:rPr>
          <w:rFonts w:asciiTheme="minorHAnsi" w:hAnsiTheme="minorHAnsi" w:cstheme="minorHAnsi"/>
        </w:rPr>
      </w:pPr>
      <w:r w:rsidRPr="00923D98">
        <w:rPr>
          <w:rFonts w:asciiTheme="minorHAnsi" w:hAnsiTheme="minorHAnsi" w:cstheme="minorHAnsi"/>
        </w:rPr>
        <w:t>Další opatření zahrnují:</w:t>
      </w:r>
    </w:p>
    <w:p w:rsidR="00B95793" w:rsidRPr="00923D98" w:rsidP="0071196F" w14:paraId="58D1592F" w14:textId="7B5D2FEE">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t>Implementaci metodiky pro hodnocení zranitelnosti kritických léčiv, analýzu slabých míst v</w:t>
      </w:r>
      <w:r w:rsidRPr="00923D98" w:rsidR="0071196F">
        <w:rPr>
          <w:rFonts w:asciiTheme="minorHAnsi" w:hAnsiTheme="minorHAnsi" w:cstheme="minorHAnsi"/>
        </w:rPr>
        <w:t> </w:t>
      </w:r>
      <w:r w:rsidRPr="00923D98">
        <w:rPr>
          <w:rFonts w:asciiTheme="minorHAnsi" w:hAnsiTheme="minorHAnsi" w:cstheme="minorHAnsi"/>
        </w:rPr>
        <w:t>dodavatelských řetězcích a predikci budoucích výpadků pomocí kombinace kvalitativních a</w:t>
      </w:r>
      <w:r w:rsidRPr="00923D98" w:rsidR="0071196F">
        <w:rPr>
          <w:rFonts w:asciiTheme="minorHAnsi" w:hAnsiTheme="minorHAnsi" w:cstheme="minorHAnsi"/>
        </w:rPr>
        <w:t> </w:t>
      </w:r>
      <w:r w:rsidRPr="00923D98">
        <w:rPr>
          <w:rFonts w:asciiTheme="minorHAnsi" w:hAnsiTheme="minorHAnsi" w:cstheme="minorHAnsi"/>
        </w:rPr>
        <w:t>kvantitativních ukazatelů.</w:t>
      </w:r>
    </w:p>
    <w:p w:rsidR="00B95793" w:rsidRPr="00923D98" w:rsidP="0071196F" w14:paraId="725749CC" w14:textId="77777777">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t>Rozšíření systému rezervních zásob o léčivé přípravky pro případ nedostupnosti a CBRN hrozeb, s důrazem na efektivní obměnu rezervovaných balení.</w:t>
      </w:r>
    </w:p>
    <w:p w:rsidR="00B95793" w:rsidRPr="00923D98" w:rsidP="0071196F" w14:paraId="19B6FC44" w14:textId="77777777">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t>Rozšíření pravomocí Státního ústavu pro kontrolu léčiv k označování léčiv příznakem „omezená dostupnost“ i pro přípravky bez maximální ceny či úhrady z veřejného zdravotního pojištění.</w:t>
      </w:r>
    </w:p>
    <w:p w:rsidR="00B95793" w:rsidRPr="00923D98" w:rsidP="0071196F" w14:paraId="1BF87893" w14:textId="77777777">
      <w:pPr>
        <w:shd w:val="clear" w:color="auto" w:fill="FDFDFD"/>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t>Zajištění legislativního rámce, který nebude v rozporu s pravidly volného pohybu zboží EU.</w:t>
      </w:r>
    </w:p>
    <w:p w:rsidR="00A5256B" w:rsidRPr="00923D98" w:rsidP="0071196F" w14:paraId="0C243F37" w14:textId="1680DA31">
      <w:pPr>
        <w:shd w:val="clear" w:color="auto" w:fill="FDFDFD"/>
        <w:spacing w:after="120"/>
        <w:jc w:val="both"/>
        <w:rPr>
          <w:rFonts w:asciiTheme="minorHAnsi" w:hAnsiTheme="minorHAnsi" w:cstheme="minorHAnsi"/>
        </w:rPr>
      </w:pPr>
      <w:r w:rsidRPr="00923D98">
        <w:rPr>
          <w:rFonts w:asciiTheme="minorHAnsi" w:hAnsiTheme="minorHAnsi" w:cstheme="minorHAnsi"/>
        </w:rPr>
        <w:t>Souhrnem se jedná o komplexní strategii, která reaguje na evropské i národní výzvy a potřeby v oblasti lékové politiky, klade důraz na dostupnost, kvalitu, bezpečnost a udržitelnost léčiv v</w:t>
      </w:r>
      <w:r w:rsidRPr="00923D98" w:rsidR="00502353">
        <w:rPr>
          <w:rFonts w:asciiTheme="minorHAnsi" w:hAnsiTheme="minorHAnsi" w:cstheme="minorHAnsi"/>
        </w:rPr>
        <w:t> </w:t>
      </w:r>
      <w:r w:rsidRPr="00923D98">
        <w:rPr>
          <w:rFonts w:asciiTheme="minorHAnsi" w:hAnsiTheme="minorHAnsi" w:cstheme="minorHAnsi"/>
        </w:rPr>
        <w:t>České republice s konkrétními opatřeními, harmonogramem a rozpočtem.</w:t>
      </w:r>
    </w:p>
    <w:p w:rsidR="00134DC4" w:rsidRPr="00923D98" w:rsidP="00F2646F" w14:paraId="25140F0B" w14:textId="77777777">
      <w:pPr>
        <w:jc w:val="both"/>
        <w:rPr>
          <w:rFonts w:asciiTheme="minorHAnsi" w:hAnsiTheme="minorHAnsi" w:cstheme="minorHAnsi"/>
          <w:b/>
          <w:bCs/>
        </w:rPr>
      </w:pPr>
      <w:r w:rsidRPr="00923D98">
        <w:rPr>
          <w:rFonts w:asciiTheme="minorHAnsi" w:hAnsiTheme="minorHAnsi" w:cstheme="minorHAnsi"/>
          <w:b/>
          <w:bCs/>
        </w:rPr>
        <w:t>Proces přípravy:</w:t>
      </w:r>
    </w:p>
    <w:p w:rsidR="005A70DC" w:rsidRPr="00923D98" w:rsidP="00F2646F" w14:paraId="0163D43E" w14:textId="65685840">
      <w:pPr>
        <w:jc w:val="both"/>
        <w:rPr>
          <w:rFonts w:asciiTheme="minorHAnsi" w:hAnsiTheme="minorHAnsi" w:cstheme="minorHAnsi"/>
          <w:i/>
        </w:rPr>
      </w:pPr>
      <w:r w:rsidRPr="00923D98">
        <w:rPr>
          <w:rFonts w:asciiTheme="minorHAnsi" w:hAnsiTheme="minorHAnsi" w:cstheme="minorHAnsi"/>
        </w:rPr>
        <w:t>Implementační plán byl připraven odborným útvarem MZD, který má ve své gesci přípravu právních předpisů, do nichž budou implementovány právní předpisy EU a který se podílel na vypracování pozic a instrukcí na jednání o podobě farmaceutického balíčku. Tímto krokem je zachována kontinuita navazujících prací, které povedou ke splnění implementačního plánu.</w:t>
      </w:r>
    </w:p>
    <w:p w:rsidR="005A70DC" w:rsidRPr="00923D98" w:rsidP="00407113" w14:paraId="5280125B" w14:textId="77777777">
      <w:pPr>
        <w:jc w:val="both"/>
        <w:rPr>
          <w:rFonts w:asciiTheme="minorHAnsi" w:hAnsiTheme="minorHAnsi" w:cstheme="minorHAnsi"/>
          <w:i/>
        </w:rPr>
      </w:pPr>
    </w:p>
    <w:p w:rsidR="00A3322C" w:rsidRPr="00923D98" w:rsidP="005A70DC" w14:paraId="24495474" w14:textId="13E89962">
      <w:pPr>
        <w:jc w:val="both"/>
        <w:rPr>
          <w:rFonts w:asciiTheme="minorHAnsi" w:eastAsiaTheme="minorEastAsia" w:hAnsiTheme="minorHAnsi" w:cstheme="minorHAnsi"/>
          <w:b/>
          <w:bCs/>
        </w:rPr>
      </w:pPr>
      <w:r w:rsidRPr="00923D98">
        <w:rPr>
          <w:rFonts w:asciiTheme="minorHAnsi" w:eastAsiaTheme="minorEastAsia" w:hAnsiTheme="minorHAnsi" w:cstheme="minorHAnsi"/>
          <w:b/>
          <w:bCs/>
        </w:rPr>
        <w:t xml:space="preserve">V rámci realizace opatření implementačního plánu </w:t>
      </w:r>
      <w:r w:rsidRPr="00923D98" w:rsidR="00EB589E">
        <w:rPr>
          <w:rFonts w:asciiTheme="minorHAnsi" w:eastAsiaTheme="minorEastAsia" w:hAnsiTheme="minorHAnsi" w:cstheme="minorHAnsi"/>
          <w:b/>
          <w:bCs/>
        </w:rPr>
        <w:t xml:space="preserve">je </w:t>
      </w:r>
      <w:r w:rsidRPr="00923D98" w:rsidR="007E7FB1">
        <w:rPr>
          <w:rFonts w:asciiTheme="minorHAnsi" w:eastAsiaTheme="minorEastAsia" w:hAnsiTheme="minorHAnsi" w:cstheme="minorHAnsi"/>
          <w:b/>
          <w:bCs/>
        </w:rPr>
        <w:t xml:space="preserve">mj. </w:t>
      </w:r>
      <w:r w:rsidRPr="00923D98" w:rsidR="00EB589E">
        <w:rPr>
          <w:rFonts w:asciiTheme="minorHAnsi" w:eastAsiaTheme="minorEastAsia" w:hAnsiTheme="minorHAnsi" w:cstheme="minorHAnsi"/>
          <w:b/>
          <w:bCs/>
        </w:rPr>
        <w:t>nezbytná</w:t>
      </w:r>
      <w:r w:rsidRPr="00923D98">
        <w:rPr>
          <w:rFonts w:asciiTheme="minorHAnsi" w:eastAsiaTheme="minorEastAsia" w:hAnsiTheme="minorHAnsi" w:cstheme="minorHAnsi"/>
          <w:b/>
          <w:bCs/>
        </w:rPr>
        <w:t xml:space="preserve"> spolupráce</w:t>
      </w:r>
      <w:r w:rsidRPr="00923D98" w:rsidR="00246F85">
        <w:rPr>
          <w:rFonts w:asciiTheme="minorHAnsi" w:eastAsiaTheme="minorEastAsia" w:hAnsiTheme="minorHAnsi" w:cstheme="minorHAnsi"/>
          <w:b/>
          <w:bCs/>
        </w:rPr>
        <w:t xml:space="preserve"> </w:t>
      </w:r>
      <w:r w:rsidRPr="00923D98">
        <w:rPr>
          <w:rFonts w:asciiTheme="minorHAnsi" w:hAnsiTheme="minorHAnsi" w:cstheme="minorHAnsi"/>
        </w:rPr>
        <w:t>MZD, SÚKL, ČLnK, zdravotní</w:t>
      </w:r>
      <w:r w:rsidRPr="00923D98" w:rsidR="00BB4355">
        <w:rPr>
          <w:rFonts w:asciiTheme="minorHAnsi" w:hAnsiTheme="minorHAnsi" w:cstheme="minorHAnsi"/>
        </w:rPr>
        <w:t>ch</w:t>
      </w:r>
      <w:r w:rsidRPr="00923D98">
        <w:rPr>
          <w:rFonts w:asciiTheme="minorHAnsi" w:hAnsiTheme="minorHAnsi" w:cstheme="minorHAnsi"/>
        </w:rPr>
        <w:t xml:space="preserve"> pojišťov</w:t>
      </w:r>
      <w:r w:rsidRPr="00923D98" w:rsidR="00BB4355">
        <w:rPr>
          <w:rFonts w:asciiTheme="minorHAnsi" w:hAnsiTheme="minorHAnsi" w:cstheme="minorHAnsi"/>
        </w:rPr>
        <w:t>e</w:t>
      </w:r>
      <w:r w:rsidRPr="00923D98">
        <w:rPr>
          <w:rFonts w:asciiTheme="minorHAnsi" w:hAnsiTheme="minorHAnsi" w:cstheme="minorHAnsi"/>
        </w:rPr>
        <w:t>n, distributor</w:t>
      </w:r>
      <w:r w:rsidRPr="00923D98" w:rsidR="00BB4355">
        <w:rPr>
          <w:rFonts w:asciiTheme="minorHAnsi" w:hAnsiTheme="minorHAnsi" w:cstheme="minorHAnsi"/>
        </w:rPr>
        <w:t>ů</w:t>
      </w:r>
      <w:r w:rsidRPr="00923D98" w:rsidR="000B68EE">
        <w:rPr>
          <w:rFonts w:asciiTheme="minorHAnsi" w:hAnsiTheme="minorHAnsi" w:cstheme="minorHAnsi"/>
        </w:rPr>
        <w:t>, držitel</w:t>
      </w:r>
      <w:r w:rsidRPr="00923D98" w:rsidR="00BB4355">
        <w:rPr>
          <w:rFonts w:asciiTheme="minorHAnsi" w:hAnsiTheme="minorHAnsi" w:cstheme="minorHAnsi"/>
        </w:rPr>
        <w:t>ů</w:t>
      </w:r>
      <w:r w:rsidRPr="00923D98" w:rsidR="000B68EE">
        <w:rPr>
          <w:rFonts w:asciiTheme="minorHAnsi" w:hAnsiTheme="minorHAnsi" w:cstheme="minorHAnsi"/>
        </w:rPr>
        <w:t xml:space="preserve"> rozhodnutí o registraci</w:t>
      </w:r>
      <w:r w:rsidRPr="00923D98" w:rsidR="000B3E6F">
        <w:rPr>
          <w:rFonts w:asciiTheme="minorHAnsi" w:hAnsiTheme="minorHAnsi" w:cstheme="minorHAnsi"/>
        </w:rPr>
        <w:t xml:space="preserve">, </w:t>
      </w:r>
      <w:r w:rsidRPr="00923D98" w:rsidR="00B475D7">
        <w:rPr>
          <w:rFonts w:asciiTheme="minorHAnsi" w:hAnsiTheme="minorHAnsi" w:cstheme="minorHAnsi"/>
        </w:rPr>
        <w:t xml:space="preserve">SSHR, </w:t>
      </w:r>
      <w:r w:rsidRPr="00923D98" w:rsidR="000B3E6F">
        <w:rPr>
          <w:rFonts w:asciiTheme="minorHAnsi" w:hAnsiTheme="minorHAnsi" w:cstheme="minorHAnsi"/>
        </w:rPr>
        <w:t>MZE, MPO, MMR</w:t>
      </w:r>
      <w:r w:rsidRPr="00923D98">
        <w:rPr>
          <w:rFonts w:asciiTheme="minorHAnsi" w:hAnsiTheme="minorHAnsi" w:cstheme="minorHAnsi"/>
        </w:rPr>
        <w:t>.</w:t>
      </w:r>
    </w:p>
    <w:p w:rsidR="0059506F" w:rsidRPr="00923D98" w:rsidP="005A70DC" w14:paraId="608C0FDE" w14:textId="44DBC07F">
      <w:pPr>
        <w:jc w:val="both"/>
        <w:rPr>
          <w:rFonts w:asciiTheme="minorHAnsi" w:hAnsiTheme="minorHAnsi" w:cstheme="minorHAnsi"/>
          <w:i/>
        </w:rPr>
      </w:pPr>
      <w:r w:rsidRPr="00923D98">
        <w:rPr>
          <w:rFonts w:asciiTheme="minorHAnsi" w:hAnsiTheme="minorHAnsi" w:cstheme="minorHAnsi"/>
          <w:i/>
        </w:rPr>
        <w:br w:type="page"/>
      </w:r>
    </w:p>
    <w:p w:rsidR="0034008C" w:rsidRPr="00923D98" w:rsidP="00371E45" w14:paraId="7849A21E" w14:textId="77777777">
      <w:pPr>
        <w:pStyle w:val="Heading1"/>
        <w:numPr>
          <w:ilvl w:val="0"/>
          <w:numId w:val="13"/>
        </w:numPr>
        <w:rPr>
          <w:rFonts w:cstheme="minorHAnsi"/>
        </w:rPr>
      </w:pPr>
      <w:bookmarkStart w:id="226" w:name="_Toc256000001"/>
      <w:r w:rsidRPr="00923D98">
        <w:rPr>
          <w:rFonts w:cstheme="minorHAnsi"/>
        </w:rPr>
        <w:t>Základní informace o specifickém cíli</w:t>
      </w:r>
      <w:bookmarkEnd w:id="226"/>
      <w:r w:rsidRPr="00923D98">
        <w:rPr>
          <w:rFonts w:cstheme="minorHAnsi"/>
        </w:rPr>
        <w:t xml:space="preserve"> </w:t>
      </w:r>
    </w:p>
    <w:p w:rsidR="005B19F6" w:rsidRPr="00923D98" w:rsidP="00E75236" w14:paraId="3BDD5D5F" w14:textId="77777777">
      <w:pPr>
        <w:jc w:val="both"/>
        <w:rPr>
          <w:rFonts w:asciiTheme="minorHAnsi" w:hAnsiTheme="minorHAnsi" w:cstheme="minorHAnsi"/>
        </w:rPr>
      </w:pPr>
    </w:p>
    <w:p w:rsidR="00A20C12" w:rsidRPr="00923D98" w:rsidP="00B325A3" w14:paraId="05546D19" w14:textId="37C3CD29">
      <w:pPr>
        <w:spacing w:after="120"/>
        <w:jc w:val="both"/>
        <w:rPr>
          <w:rFonts w:asciiTheme="minorHAnsi" w:hAnsiTheme="minorHAnsi" w:cstheme="minorHAnsi"/>
        </w:rPr>
      </w:pPr>
      <w:r w:rsidRPr="00923D98">
        <w:rPr>
          <w:rFonts w:asciiTheme="minorHAnsi" w:hAnsiTheme="minorHAnsi" w:cstheme="minorHAnsi"/>
        </w:rPr>
        <w:t>Specifický cíl po provedené analýze potřeb České republiky navazuje na čtyři pilíře Farmaceutické strategie pro Evropu</w:t>
      </w:r>
      <w:r w:rsidRPr="00923D98" w:rsidR="00CA48DE">
        <w:rPr>
          <w:rFonts w:asciiTheme="minorHAnsi" w:hAnsiTheme="minorHAnsi" w:cstheme="minorHAnsi"/>
        </w:rPr>
        <w:t>, které jsou formulovány následovně</w:t>
      </w:r>
      <w:r w:rsidRPr="00923D98">
        <w:rPr>
          <w:rFonts w:asciiTheme="minorHAnsi" w:hAnsiTheme="minorHAnsi" w:cstheme="minorHAnsi"/>
        </w:rPr>
        <w:t>:</w:t>
      </w:r>
    </w:p>
    <w:p w:rsidR="00A20C12" w:rsidRPr="00923D98" w:rsidP="00A20C12" w14:paraId="337570D2" w14:textId="77777777">
      <w:pPr>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t>zajistit pacientům přístup k cenově dostupným lékům a zaměřit se na neuspokojené léčebné potřeby (např. v oblasti antimikrobiální rezistence či vzácných onemocnění);</w:t>
      </w:r>
    </w:p>
    <w:p w:rsidR="00A20C12" w:rsidRPr="00923D98" w:rsidP="00A20C12" w14:paraId="3B7602A7" w14:textId="77777777">
      <w:pPr>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t>podporovat konkurenceschopnost, inovace a udržitelnost farmaceutického průmyslu v EU a vývoj vysoce kvalitních, bezpečných, účinných a ekologičtějších léčivých přípravků;</w:t>
      </w:r>
    </w:p>
    <w:p w:rsidR="00A20C12" w:rsidRPr="00923D98" w:rsidP="00A20C12" w14:paraId="39509CC1" w14:textId="77777777">
      <w:pPr>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t>zdokonalovat mechanismy připravenosti a reakce na krize, diverzifikovat a zabezpečovat dodavatelské řetězce, řešit nedostatek léků;</w:t>
      </w:r>
    </w:p>
    <w:p w:rsidR="00A20C12" w:rsidRPr="00923D98" w:rsidP="00A20C12" w14:paraId="649A7B04" w14:textId="77777777">
      <w:pPr>
        <w:spacing w:after="120"/>
        <w:jc w:val="both"/>
        <w:rPr>
          <w:rFonts w:asciiTheme="minorHAnsi" w:hAnsiTheme="minorHAnsi" w:cstheme="minorHAnsi"/>
        </w:rPr>
      </w:pPr>
      <w:r w:rsidRPr="00923D98">
        <w:rPr>
          <w:rFonts w:asciiTheme="minorHAnsi" w:hAnsiTheme="minorHAnsi" w:cstheme="minorHAnsi"/>
        </w:rPr>
        <w:t>•</w:t>
      </w:r>
      <w:r w:rsidRPr="00923D98">
        <w:rPr>
          <w:rFonts w:asciiTheme="minorHAnsi" w:hAnsiTheme="minorHAnsi" w:cstheme="minorHAnsi"/>
        </w:rPr>
        <w:tab/>
        <w:t>zajistit silné postavení EU ve světě a prosazovat vysokou úroveň standardů kvality, účinnosti a bezpečnosti.</w:t>
      </w:r>
    </w:p>
    <w:p w:rsidR="00B325A3" w:rsidRPr="00923D98" w:rsidP="00B325A3" w14:paraId="6295F7D2" w14:textId="6431140B">
      <w:pPr>
        <w:spacing w:after="120"/>
        <w:jc w:val="both"/>
        <w:rPr>
          <w:rFonts w:asciiTheme="minorHAnsi" w:hAnsiTheme="minorHAnsi" w:cstheme="minorHAnsi"/>
        </w:rPr>
      </w:pPr>
      <w:r w:rsidRPr="00923D98">
        <w:rPr>
          <w:rFonts w:asciiTheme="minorHAnsi" w:hAnsiTheme="minorHAnsi" w:cstheme="minorHAnsi"/>
        </w:rPr>
        <w:t xml:space="preserve">Specifický cíl byl </w:t>
      </w:r>
      <w:r w:rsidRPr="00923D98" w:rsidR="009D5803">
        <w:rPr>
          <w:rFonts w:asciiTheme="minorHAnsi" w:hAnsiTheme="minorHAnsi" w:cstheme="minorHAnsi"/>
        </w:rPr>
        <w:t>navržen</w:t>
      </w:r>
      <w:r w:rsidRPr="00923D98">
        <w:rPr>
          <w:rFonts w:asciiTheme="minorHAnsi" w:hAnsiTheme="minorHAnsi" w:cstheme="minorHAnsi"/>
        </w:rPr>
        <w:t xml:space="preserve"> tak, aby přispěl k</w:t>
      </w:r>
      <w:r w:rsidRPr="00923D98">
        <w:rPr>
          <w:rFonts w:asciiTheme="minorHAnsi" w:hAnsiTheme="minorHAnsi" w:cstheme="minorHAnsi"/>
        </w:rPr>
        <w:t xml:space="preserve"> zajištění kvality a bezpečnosti léčivých přípravků a</w:t>
      </w:r>
      <w:r w:rsidRPr="00923D98" w:rsidR="001B5433">
        <w:rPr>
          <w:rFonts w:asciiTheme="minorHAnsi" w:hAnsiTheme="minorHAnsi" w:cstheme="minorHAnsi"/>
        </w:rPr>
        <w:t> </w:t>
      </w:r>
      <w:r w:rsidRPr="00923D98">
        <w:rPr>
          <w:rFonts w:asciiTheme="minorHAnsi" w:hAnsiTheme="minorHAnsi" w:cstheme="minorHAnsi"/>
        </w:rPr>
        <w:t xml:space="preserve">posílení globální konkurenceschopnosti evropského farmaceutického průmyslu. </w:t>
      </w:r>
    </w:p>
    <w:p w:rsidR="00B325A3" w:rsidP="001B5433" w14:paraId="04B69504" w14:textId="2B984B58">
      <w:pPr>
        <w:spacing w:after="120"/>
        <w:rPr>
          <w:rFonts w:asciiTheme="minorHAnsi" w:hAnsiTheme="minorHAnsi" w:cstheme="minorHAnsi"/>
          <w:b/>
          <w:bCs/>
        </w:rPr>
      </w:pPr>
      <w:r w:rsidRPr="00923D98">
        <w:rPr>
          <w:rFonts w:asciiTheme="minorHAnsi" w:hAnsiTheme="minorHAnsi" w:cstheme="minorHAnsi"/>
          <w:b/>
          <w:bCs/>
        </w:rPr>
        <w:t>Dosažení specifického cíle bude realizováno prostřednictvím 7 dílčích cílů:</w:t>
      </w:r>
    </w:p>
    <w:p w:rsidR="00E61E2C" w:rsidP="001B5433" w14:paraId="6E9A1722" w14:textId="77777777">
      <w:pPr>
        <w:spacing w:after="120"/>
        <w:rPr>
          <w:rFonts w:asciiTheme="minorHAnsi" w:hAnsiTheme="minorHAnsi" w:cstheme="minorHAnsi"/>
          <w:b/>
          <w:bCs/>
        </w:rPr>
      </w:pP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92"/>
        <w:gridCol w:w="7796"/>
      </w:tblGrid>
      <w:tr w14:paraId="19F84BF0" w14:textId="77777777" w:rsidTr="00E61E2C">
        <w:tblPrEx>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564"/>
        </w:trPr>
        <w:tc>
          <w:tcPr>
            <w:tcW w:w="1492" w:type="dxa"/>
            <w:tcBorders>
              <w:top w:val="single" w:sz="4" w:space="0" w:color="auto"/>
              <w:left w:val="single" w:sz="4" w:space="0" w:color="auto"/>
              <w:bottom w:val="single" w:sz="4" w:space="0" w:color="auto"/>
              <w:right w:val="single" w:sz="4" w:space="0" w:color="auto"/>
            </w:tcBorders>
          </w:tcPr>
          <w:p w:rsidR="00E61E2C" w:rsidRPr="006C6A55" w:rsidP="00467813" w14:paraId="487DE15B" w14:textId="77777777">
            <w:pPr>
              <w:ind w:left="7" w:right="170"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7796" w:type="dxa"/>
            <w:tcBorders>
              <w:top w:val="single" w:sz="4" w:space="0" w:color="auto"/>
              <w:left w:val="single" w:sz="4" w:space="0" w:color="auto"/>
              <w:bottom w:val="single" w:sz="4" w:space="0" w:color="auto"/>
              <w:right w:val="single" w:sz="4" w:space="0" w:color="auto"/>
            </w:tcBorders>
            <w:vAlign w:val="center"/>
          </w:tcPr>
          <w:p w:rsidR="00E61E2C" w:rsidRPr="006C6A55" w:rsidP="00467813" w14:paraId="203B31F5" w14:textId="12EFA9AE">
            <w:pPr>
              <w:ind w:left="680" w:right="170" w:hanging="680"/>
              <w:rPr>
                <w:rFonts w:asciiTheme="minorHAnsi" w:hAnsiTheme="minorHAnsi" w:cstheme="minorHAnsi"/>
              </w:rPr>
            </w:pPr>
            <w:r w:rsidRPr="00923D98">
              <w:rPr>
                <w:rFonts w:asciiTheme="minorHAnsi" w:hAnsiTheme="minorHAnsi" w:cstheme="minorHAnsi"/>
              </w:rPr>
              <w:t>1.3.1 Implementovat unijní právní předpisy a stabilizovat řízení zásob léčiv</w:t>
            </w:r>
          </w:p>
        </w:tc>
      </w:tr>
      <w:tr w14:paraId="4620F05C" w14:textId="77777777" w:rsidTr="00E61E2C">
        <w:tblPrEx>
          <w:tblW w:w="9288" w:type="dxa"/>
          <w:tblInd w:w="63" w:type="dxa"/>
          <w:tblCellMar>
            <w:left w:w="70" w:type="dxa"/>
            <w:right w:w="70" w:type="dxa"/>
          </w:tblCellMar>
          <w:tblLook w:val="0000"/>
        </w:tblPrEx>
        <w:trPr>
          <w:trHeight w:val="564"/>
        </w:trPr>
        <w:tc>
          <w:tcPr>
            <w:tcW w:w="1492" w:type="dxa"/>
            <w:tcBorders>
              <w:top w:val="single" w:sz="4" w:space="0" w:color="auto"/>
              <w:left w:val="single" w:sz="4" w:space="0" w:color="auto"/>
              <w:bottom w:val="single" w:sz="4" w:space="0" w:color="auto"/>
              <w:right w:val="single" w:sz="4" w:space="0" w:color="auto"/>
            </w:tcBorders>
          </w:tcPr>
          <w:p w:rsidR="00E61E2C" w:rsidRPr="006C6A55" w:rsidP="00467813" w14:paraId="6585F80C" w14:textId="77777777">
            <w:pPr>
              <w:ind w:left="7" w:right="170"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7796" w:type="dxa"/>
            <w:tcBorders>
              <w:top w:val="single" w:sz="4" w:space="0" w:color="auto"/>
              <w:left w:val="single" w:sz="4" w:space="0" w:color="auto"/>
              <w:bottom w:val="single" w:sz="4" w:space="0" w:color="auto"/>
              <w:right w:val="single" w:sz="4" w:space="0" w:color="auto"/>
            </w:tcBorders>
            <w:vAlign w:val="center"/>
          </w:tcPr>
          <w:p w:rsidR="00E61E2C" w:rsidRPr="006C6A55" w:rsidP="00E61E2C" w14:paraId="5F89D799" w14:textId="17B61C7F">
            <w:pPr>
              <w:spacing w:after="120"/>
              <w:jc w:val="both"/>
              <w:rPr>
                <w:rFonts w:asciiTheme="minorHAnsi" w:hAnsiTheme="minorHAnsi" w:cstheme="minorHAnsi"/>
              </w:rPr>
            </w:pPr>
            <w:r w:rsidRPr="00923D98">
              <w:rPr>
                <w:rFonts w:asciiTheme="minorHAnsi" w:hAnsiTheme="minorHAnsi" w:cstheme="minorHAnsi"/>
              </w:rPr>
              <w:t>1.3.2 Zavést systém monitoringu léčiv</w:t>
            </w:r>
          </w:p>
        </w:tc>
      </w:tr>
      <w:tr w14:paraId="7A2C4D7F" w14:textId="77777777" w:rsidTr="00E61E2C">
        <w:tblPrEx>
          <w:tblW w:w="9288" w:type="dxa"/>
          <w:tblInd w:w="63" w:type="dxa"/>
          <w:tblCellMar>
            <w:left w:w="70" w:type="dxa"/>
            <w:right w:w="70" w:type="dxa"/>
          </w:tblCellMar>
          <w:tblLook w:val="0000"/>
        </w:tblPrEx>
        <w:trPr>
          <w:trHeight w:val="564"/>
        </w:trPr>
        <w:tc>
          <w:tcPr>
            <w:tcW w:w="1492" w:type="dxa"/>
            <w:tcBorders>
              <w:top w:val="single" w:sz="4" w:space="0" w:color="auto"/>
              <w:left w:val="single" w:sz="4" w:space="0" w:color="auto"/>
              <w:bottom w:val="single" w:sz="4" w:space="0" w:color="auto"/>
              <w:right w:val="single" w:sz="4" w:space="0" w:color="auto"/>
            </w:tcBorders>
          </w:tcPr>
          <w:p w:rsidR="00E61E2C" w:rsidRPr="006C6A55" w:rsidP="00467813" w14:paraId="78B1C2D9" w14:textId="77777777">
            <w:pPr>
              <w:ind w:left="7" w:right="170"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7796" w:type="dxa"/>
            <w:tcBorders>
              <w:top w:val="single" w:sz="4" w:space="0" w:color="auto"/>
              <w:left w:val="single" w:sz="4" w:space="0" w:color="auto"/>
              <w:bottom w:val="single" w:sz="4" w:space="0" w:color="auto"/>
              <w:right w:val="single" w:sz="4" w:space="0" w:color="auto"/>
            </w:tcBorders>
            <w:vAlign w:val="center"/>
          </w:tcPr>
          <w:p w:rsidR="00E61E2C" w:rsidRPr="006C6A55" w:rsidP="00467813" w14:paraId="568CFF55" w14:textId="6BAA38FF">
            <w:pPr>
              <w:ind w:left="680" w:right="170" w:hanging="680"/>
              <w:rPr>
                <w:rFonts w:asciiTheme="minorHAnsi" w:hAnsiTheme="minorHAnsi" w:cstheme="minorHAnsi"/>
                <w:sz w:val="22"/>
                <w:szCs w:val="22"/>
              </w:rPr>
            </w:pPr>
            <w:r w:rsidRPr="00923D98">
              <w:rPr>
                <w:rFonts w:asciiTheme="minorHAnsi" w:hAnsiTheme="minorHAnsi" w:cstheme="minorHAnsi"/>
              </w:rPr>
              <w:t>1.3.3 Zvýšit aktivní zapojení stakeholderů</w:t>
            </w:r>
          </w:p>
        </w:tc>
      </w:tr>
      <w:tr w14:paraId="5F829177" w14:textId="77777777" w:rsidTr="00E61E2C">
        <w:tblPrEx>
          <w:tblW w:w="9288" w:type="dxa"/>
          <w:tblInd w:w="63" w:type="dxa"/>
          <w:tblCellMar>
            <w:left w:w="70" w:type="dxa"/>
            <w:right w:w="70" w:type="dxa"/>
          </w:tblCellMar>
          <w:tblLook w:val="0000"/>
        </w:tblPrEx>
        <w:trPr>
          <w:trHeight w:val="564"/>
        </w:trPr>
        <w:tc>
          <w:tcPr>
            <w:tcW w:w="1492" w:type="dxa"/>
            <w:tcBorders>
              <w:top w:val="single" w:sz="4" w:space="0" w:color="auto"/>
              <w:left w:val="single" w:sz="4" w:space="0" w:color="auto"/>
              <w:bottom w:val="single" w:sz="4" w:space="0" w:color="auto"/>
              <w:right w:val="single" w:sz="4" w:space="0" w:color="auto"/>
            </w:tcBorders>
          </w:tcPr>
          <w:p w:rsidR="00E61E2C" w:rsidRPr="006C6A55" w:rsidP="00467813" w14:paraId="10A5F760" w14:textId="77777777">
            <w:pPr>
              <w:ind w:left="7" w:right="170"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7796" w:type="dxa"/>
            <w:tcBorders>
              <w:top w:val="single" w:sz="4" w:space="0" w:color="auto"/>
              <w:left w:val="single" w:sz="4" w:space="0" w:color="auto"/>
              <w:bottom w:val="single" w:sz="4" w:space="0" w:color="auto"/>
              <w:right w:val="single" w:sz="4" w:space="0" w:color="auto"/>
            </w:tcBorders>
            <w:vAlign w:val="center"/>
          </w:tcPr>
          <w:p w:rsidR="00E61E2C" w:rsidRPr="006C6A55" w:rsidP="00467813" w14:paraId="4A0FE9A1" w14:textId="62086267">
            <w:pPr>
              <w:ind w:left="680" w:right="170" w:hanging="680"/>
              <w:rPr>
                <w:rFonts w:asciiTheme="minorHAnsi" w:hAnsiTheme="minorHAnsi" w:cstheme="minorHAnsi"/>
                <w:sz w:val="22"/>
                <w:szCs w:val="22"/>
              </w:rPr>
            </w:pPr>
            <w:r w:rsidRPr="00923D98">
              <w:rPr>
                <w:rFonts w:asciiTheme="minorHAnsi" w:hAnsiTheme="minorHAnsi" w:cstheme="minorHAnsi"/>
              </w:rPr>
              <w:t>1.3.4 Modernizovat způsoby výdeje léčiv</w:t>
            </w:r>
          </w:p>
        </w:tc>
      </w:tr>
      <w:tr w14:paraId="204A02BB" w14:textId="77777777" w:rsidTr="00E61E2C">
        <w:tblPrEx>
          <w:tblW w:w="9288" w:type="dxa"/>
          <w:tblInd w:w="63" w:type="dxa"/>
          <w:tblCellMar>
            <w:left w:w="70" w:type="dxa"/>
            <w:right w:w="70" w:type="dxa"/>
          </w:tblCellMar>
          <w:tblLook w:val="0000"/>
        </w:tblPrEx>
        <w:trPr>
          <w:trHeight w:val="564"/>
        </w:trPr>
        <w:tc>
          <w:tcPr>
            <w:tcW w:w="1492" w:type="dxa"/>
            <w:tcBorders>
              <w:top w:val="single" w:sz="4" w:space="0" w:color="auto"/>
              <w:left w:val="single" w:sz="4" w:space="0" w:color="auto"/>
              <w:bottom w:val="single" w:sz="4" w:space="0" w:color="auto"/>
              <w:right w:val="single" w:sz="4" w:space="0" w:color="auto"/>
            </w:tcBorders>
          </w:tcPr>
          <w:p w:rsidR="00E61E2C" w:rsidRPr="00E61E2C" w:rsidP="00E61E2C" w14:paraId="2F13631D" w14:textId="77777777">
            <w:pPr>
              <w:ind w:left="7" w:right="170" w:hanging="7"/>
              <w:rPr>
                <w:rFonts w:asciiTheme="minorHAnsi" w:hAnsiTheme="minorHAnsi" w:cstheme="minorHAnsi"/>
                <w:b/>
                <w:sz w:val="22"/>
                <w:szCs w:val="22"/>
              </w:rPr>
            </w:pPr>
            <w:r w:rsidRPr="008A5E82">
              <w:rPr>
                <w:rFonts w:asciiTheme="minorHAnsi" w:hAnsiTheme="minorHAnsi" w:cstheme="minorHAnsi"/>
                <w:b/>
                <w:sz w:val="22"/>
                <w:szCs w:val="22"/>
              </w:rPr>
              <w:t>Číslo a název dílčího cíle</w:t>
            </w:r>
          </w:p>
        </w:tc>
        <w:tc>
          <w:tcPr>
            <w:tcW w:w="7796" w:type="dxa"/>
            <w:tcBorders>
              <w:top w:val="single" w:sz="4" w:space="0" w:color="auto"/>
              <w:left w:val="single" w:sz="4" w:space="0" w:color="auto"/>
              <w:bottom w:val="single" w:sz="4" w:space="0" w:color="auto"/>
              <w:right w:val="single" w:sz="4" w:space="0" w:color="auto"/>
            </w:tcBorders>
            <w:vAlign w:val="center"/>
          </w:tcPr>
          <w:p w:rsidR="00E61E2C" w:rsidRPr="006C6A55" w:rsidP="00467813" w14:paraId="15CE240F" w14:textId="264CC3BF">
            <w:pPr>
              <w:spacing w:line="252" w:lineRule="auto"/>
              <w:ind w:left="569" w:right="355" w:hanging="569"/>
              <w:rPr>
                <w:rFonts w:asciiTheme="minorHAnsi" w:hAnsiTheme="minorHAnsi" w:cstheme="minorHAnsi"/>
                <w:sz w:val="22"/>
                <w:szCs w:val="22"/>
              </w:rPr>
            </w:pPr>
            <w:r w:rsidRPr="00923D98">
              <w:rPr>
                <w:rFonts w:asciiTheme="minorHAnsi" w:hAnsiTheme="minorHAnsi" w:cstheme="minorHAnsi"/>
              </w:rPr>
              <w:t>1.3.5 Zvýšit hospodářskou podporu výroby léčiv</w:t>
            </w:r>
          </w:p>
        </w:tc>
      </w:tr>
      <w:tr w14:paraId="65ADFADF" w14:textId="77777777" w:rsidTr="00E61E2C">
        <w:tblPrEx>
          <w:tblW w:w="9288" w:type="dxa"/>
          <w:tblInd w:w="63" w:type="dxa"/>
          <w:tblCellMar>
            <w:left w:w="70" w:type="dxa"/>
            <w:right w:w="70" w:type="dxa"/>
          </w:tblCellMar>
          <w:tblLook w:val="0000"/>
        </w:tblPrEx>
        <w:trPr>
          <w:trHeight w:val="564"/>
        </w:trPr>
        <w:tc>
          <w:tcPr>
            <w:tcW w:w="1492" w:type="dxa"/>
            <w:tcBorders>
              <w:top w:val="single" w:sz="4" w:space="0" w:color="auto"/>
              <w:left w:val="single" w:sz="4" w:space="0" w:color="auto"/>
              <w:bottom w:val="single" w:sz="4" w:space="0" w:color="auto"/>
              <w:right w:val="single" w:sz="4" w:space="0" w:color="auto"/>
            </w:tcBorders>
          </w:tcPr>
          <w:p w:rsidR="00E61E2C" w:rsidRPr="00E61E2C" w:rsidP="00E61E2C" w14:paraId="52578B03" w14:textId="77777777">
            <w:pPr>
              <w:ind w:left="7" w:right="170" w:hanging="7"/>
              <w:rPr>
                <w:rFonts w:asciiTheme="minorHAnsi" w:hAnsiTheme="minorHAnsi" w:cstheme="minorHAnsi"/>
                <w:b/>
                <w:sz w:val="22"/>
                <w:szCs w:val="22"/>
              </w:rPr>
            </w:pPr>
            <w:r w:rsidRPr="008A5E82">
              <w:rPr>
                <w:rFonts w:asciiTheme="minorHAnsi" w:hAnsiTheme="minorHAnsi" w:cstheme="minorHAnsi"/>
                <w:b/>
                <w:sz w:val="22"/>
                <w:szCs w:val="22"/>
              </w:rPr>
              <w:t>Číslo a název dílčího cíle</w:t>
            </w:r>
          </w:p>
        </w:tc>
        <w:tc>
          <w:tcPr>
            <w:tcW w:w="7796" w:type="dxa"/>
            <w:tcBorders>
              <w:top w:val="single" w:sz="4" w:space="0" w:color="auto"/>
              <w:left w:val="single" w:sz="4" w:space="0" w:color="auto"/>
              <w:bottom w:val="single" w:sz="4" w:space="0" w:color="auto"/>
              <w:right w:val="single" w:sz="4" w:space="0" w:color="auto"/>
            </w:tcBorders>
            <w:vAlign w:val="center"/>
          </w:tcPr>
          <w:p w:rsidR="00E61E2C" w:rsidRPr="006C6A55" w:rsidP="00467813" w14:paraId="037CCC15" w14:textId="3B03F753">
            <w:pPr>
              <w:spacing w:line="252" w:lineRule="auto"/>
              <w:ind w:left="569" w:right="355" w:hanging="569"/>
              <w:rPr>
                <w:rFonts w:asciiTheme="minorHAnsi" w:hAnsiTheme="minorHAnsi" w:cstheme="minorHAnsi"/>
                <w:sz w:val="22"/>
                <w:szCs w:val="22"/>
              </w:rPr>
            </w:pPr>
            <w:r w:rsidRPr="00923D98">
              <w:rPr>
                <w:rFonts w:asciiTheme="minorHAnsi" w:hAnsiTheme="minorHAnsi" w:cstheme="minorHAnsi"/>
              </w:rPr>
              <w:t>1.3.6 Stabilizovat finanční udržitelnost lékové politiky</w:t>
            </w:r>
          </w:p>
        </w:tc>
      </w:tr>
      <w:tr w14:paraId="03A12625" w14:textId="77777777" w:rsidTr="00E61E2C">
        <w:tblPrEx>
          <w:tblW w:w="9288" w:type="dxa"/>
          <w:tblInd w:w="63" w:type="dxa"/>
          <w:tblCellMar>
            <w:left w:w="70" w:type="dxa"/>
            <w:right w:w="70" w:type="dxa"/>
          </w:tblCellMar>
          <w:tblLook w:val="0000"/>
        </w:tblPrEx>
        <w:trPr>
          <w:trHeight w:val="564"/>
        </w:trPr>
        <w:tc>
          <w:tcPr>
            <w:tcW w:w="1492" w:type="dxa"/>
            <w:tcBorders>
              <w:top w:val="single" w:sz="4" w:space="0" w:color="auto"/>
              <w:left w:val="single" w:sz="4" w:space="0" w:color="auto"/>
              <w:bottom w:val="single" w:sz="4" w:space="0" w:color="auto"/>
              <w:right w:val="single" w:sz="4" w:space="0" w:color="auto"/>
            </w:tcBorders>
          </w:tcPr>
          <w:p w:rsidR="00E61E2C" w:rsidRPr="008A5E82" w:rsidP="00E61E2C" w14:paraId="0503A836" w14:textId="111CFE40">
            <w:pPr>
              <w:ind w:left="7" w:right="170" w:hanging="7"/>
              <w:rPr>
                <w:rFonts w:asciiTheme="minorHAnsi" w:hAnsiTheme="minorHAnsi" w:cstheme="minorHAnsi"/>
                <w:b/>
                <w:sz w:val="22"/>
                <w:szCs w:val="22"/>
              </w:rPr>
            </w:pPr>
            <w:r w:rsidRPr="008A5E82">
              <w:rPr>
                <w:rFonts w:asciiTheme="minorHAnsi" w:hAnsiTheme="minorHAnsi" w:cstheme="minorHAnsi"/>
                <w:b/>
                <w:sz w:val="22"/>
                <w:szCs w:val="22"/>
              </w:rPr>
              <w:t>Číslo a název dílčího cíle</w:t>
            </w:r>
          </w:p>
        </w:tc>
        <w:tc>
          <w:tcPr>
            <w:tcW w:w="7796" w:type="dxa"/>
            <w:tcBorders>
              <w:top w:val="single" w:sz="4" w:space="0" w:color="auto"/>
              <w:left w:val="single" w:sz="4" w:space="0" w:color="auto"/>
              <w:bottom w:val="single" w:sz="4" w:space="0" w:color="auto"/>
              <w:right w:val="single" w:sz="4" w:space="0" w:color="auto"/>
            </w:tcBorders>
            <w:vAlign w:val="center"/>
          </w:tcPr>
          <w:p w:rsidR="00E61E2C" w:rsidRPr="00923D98" w:rsidP="00467813" w14:paraId="7858D99C" w14:textId="53A2CFF7">
            <w:pPr>
              <w:spacing w:line="252" w:lineRule="auto"/>
              <w:ind w:left="569" w:right="355" w:hanging="569"/>
              <w:rPr>
                <w:rFonts w:asciiTheme="minorHAnsi" w:hAnsiTheme="minorHAnsi" w:cstheme="minorHAnsi"/>
              </w:rPr>
            </w:pPr>
            <w:r w:rsidRPr="00923D98">
              <w:rPr>
                <w:rFonts w:asciiTheme="minorHAnsi" w:hAnsiTheme="minorHAnsi" w:cstheme="minorHAnsi"/>
              </w:rPr>
              <w:t>1.3.7 Zajistit rozvoj kapacit správních úřadů v oblasti lékové politiky státu</w:t>
            </w:r>
          </w:p>
        </w:tc>
      </w:tr>
    </w:tbl>
    <w:p w:rsidR="00E61E2C" w:rsidRPr="00923D98" w:rsidP="001B5433" w14:paraId="612AF821" w14:textId="77777777">
      <w:pPr>
        <w:spacing w:after="120"/>
        <w:rPr>
          <w:rFonts w:asciiTheme="minorHAnsi" w:hAnsiTheme="minorHAnsi" w:cstheme="minorHAnsi"/>
          <w:b/>
          <w:bCs/>
        </w:rPr>
      </w:pPr>
    </w:p>
    <w:p w:rsidR="00F33560" w:rsidRPr="00923D98" w:rsidP="00C20DEA" w14:paraId="5873C6DE" w14:textId="32F360AA">
      <w:pPr>
        <w:spacing w:after="120"/>
        <w:jc w:val="both"/>
        <w:rPr>
          <w:rFonts w:asciiTheme="minorHAnsi" w:hAnsiTheme="minorHAnsi" w:cstheme="minorHAnsi"/>
        </w:rPr>
      </w:pPr>
      <w:r w:rsidRPr="00923D98">
        <w:rPr>
          <w:rFonts w:asciiTheme="minorHAnsi" w:hAnsiTheme="minorHAnsi" w:cstheme="minorHAnsi"/>
        </w:rPr>
        <w:t xml:space="preserve">Primárně je nezbytné </w:t>
      </w:r>
      <w:r w:rsidRPr="00923D98">
        <w:rPr>
          <w:rFonts w:asciiTheme="minorHAnsi" w:hAnsiTheme="minorHAnsi" w:cstheme="minorHAnsi"/>
          <w:b/>
          <w:bCs/>
        </w:rPr>
        <w:t>vycházet z unijních právních předpisů</w:t>
      </w:r>
      <w:r w:rsidRPr="00923D98">
        <w:rPr>
          <w:rFonts w:asciiTheme="minorHAnsi" w:hAnsiTheme="minorHAnsi" w:cstheme="minorHAnsi"/>
        </w:rPr>
        <w:t>, které budou muset být v</w:t>
      </w:r>
      <w:r w:rsidRPr="00923D98" w:rsidR="00893782">
        <w:rPr>
          <w:rFonts w:asciiTheme="minorHAnsi" w:hAnsiTheme="minorHAnsi" w:cstheme="minorHAnsi"/>
        </w:rPr>
        <w:t> </w:t>
      </w:r>
      <w:r w:rsidRPr="00923D98">
        <w:rPr>
          <w:rFonts w:asciiTheme="minorHAnsi" w:hAnsiTheme="minorHAnsi" w:cstheme="minorHAnsi"/>
        </w:rPr>
        <w:t xml:space="preserve">následujících letech implementovány do právního řádu České republiky. To je obsahem prvního dílčího cíle. Z pohledu implementace nejen Zdraví 2035, ale i Farmaceutické strategie pro Evropu, je totiž klíčová </w:t>
      </w:r>
      <w:r w:rsidRPr="00923D98">
        <w:rPr>
          <w:rFonts w:asciiTheme="minorHAnsi" w:hAnsiTheme="minorHAnsi" w:cstheme="minorHAnsi"/>
          <w:b/>
          <w:bCs/>
        </w:rPr>
        <w:t>reforma právních předpisů EU týkajících se léčivých přípravků</w:t>
      </w:r>
      <w:r w:rsidRPr="00923D98">
        <w:rPr>
          <w:rFonts w:asciiTheme="minorHAnsi" w:hAnsiTheme="minorHAnsi" w:cstheme="minorHAnsi"/>
        </w:rPr>
        <w:t>. Česká právní úprava bude upravena v návaznosti na nové směrnice a nařízení nahrazující právní předpisy v oblasti léčivých přípravků, včetně těch týkajících se vzácných onemocnění a</w:t>
      </w:r>
      <w:r w:rsidRPr="00923D98" w:rsidR="002478FD">
        <w:rPr>
          <w:rFonts w:asciiTheme="minorHAnsi" w:hAnsiTheme="minorHAnsi" w:cstheme="minorHAnsi"/>
        </w:rPr>
        <w:t> </w:t>
      </w:r>
      <w:r w:rsidRPr="00923D98">
        <w:rPr>
          <w:rFonts w:asciiTheme="minorHAnsi" w:hAnsiTheme="minorHAnsi" w:cstheme="minorHAnsi"/>
        </w:rPr>
        <w:t xml:space="preserve">pediatrie. Česká republika se účastní i posouzení dopadů revize, dialogu o bezpečnosti dodávek léčivých přípravků či pilotního projektu uvádění centrálně registrovaných přípravků </w:t>
      </w:r>
      <w:r w:rsidRPr="00923D98">
        <w:rPr>
          <w:rFonts w:asciiTheme="minorHAnsi" w:hAnsiTheme="minorHAnsi" w:cstheme="minorHAnsi"/>
        </w:rPr>
        <w:t xml:space="preserve">na trh. Podstatné informace budou získány díky celoevropské studii o nedostatku léčivých přípravků a studii o optimalizaci zadávání veřejných zakázek na léčivé přípravky. </w:t>
      </w:r>
    </w:p>
    <w:p w:rsidR="00F33560" w:rsidRPr="00923D98" w:rsidP="00C20DEA" w14:paraId="6CA10CC9" w14:textId="3CAAADC3">
      <w:pPr>
        <w:spacing w:after="120"/>
        <w:jc w:val="both"/>
        <w:rPr>
          <w:rFonts w:asciiTheme="minorHAnsi" w:hAnsiTheme="minorHAnsi" w:cstheme="minorHAnsi"/>
        </w:rPr>
      </w:pPr>
      <w:r w:rsidRPr="00923D98">
        <w:rPr>
          <w:rFonts w:asciiTheme="minorHAnsi" w:hAnsiTheme="minorHAnsi" w:cstheme="minorHAnsi"/>
        </w:rPr>
        <w:t xml:space="preserve">Jedním z opatření bude </w:t>
      </w:r>
      <w:r w:rsidRPr="00923D98">
        <w:rPr>
          <w:rFonts w:asciiTheme="minorHAnsi" w:hAnsiTheme="minorHAnsi" w:cstheme="minorHAnsi"/>
          <w:b/>
          <w:bCs/>
        </w:rPr>
        <w:t>implementace metodiky pro hodnocení zranitelnosti kritických léčiv</w:t>
      </w:r>
      <w:r w:rsidRPr="00923D98">
        <w:rPr>
          <w:rFonts w:asciiTheme="minorHAnsi" w:hAnsiTheme="minorHAnsi" w:cstheme="minorHAnsi"/>
        </w:rPr>
        <w:t>, budou identifikována slabá místa v dodavatelských řetězcích a navržena opatření pro zajištění jejich dostupnosti. Pomocí definovaných ukazatelů bude vytvořen seznam nejzranitelnějších léčiv, následně proběhne hlubší analýza pomocí kombinace kvalitativních a kvantitativních ukazatelů (vč. aspektů, jako globální dodavatelské řetězce, enviromentální, sociální a</w:t>
      </w:r>
      <w:r w:rsidRPr="00923D98" w:rsidR="00C20DEA">
        <w:rPr>
          <w:rFonts w:asciiTheme="minorHAnsi" w:hAnsiTheme="minorHAnsi" w:cstheme="minorHAnsi"/>
        </w:rPr>
        <w:t> </w:t>
      </w:r>
      <w:r w:rsidRPr="00923D98">
        <w:rPr>
          <w:rFonts w:asciiTheme="minorHAnsi" w:hAnsiTheme="minorHAnsi" w:cstheme="minorHAnsi"/>
        </w:rPr>
        <w:t>bezpečností faktory). Zakomponovány budou rovněž prediktivní modely pro předvídání budoucích výpadků v dodávkách léčiv</w:t>
      </w:r>
      <w:r>
        <w:rPr>
          <w:rStyle w:val="FootnoteReference"/>
          <w:rFonts w:asciiTheme="minorHAnsi" w:hAnsiTheme="minorHAnsi" w:cstheme="minorHAnsi"/>
        </w:rPr>
        <w:footnoteReference w:id="4"/>
      </w:r>
      <w:r w:rsidRPr="00923D98">
        <w:rPr>
          <w:rFonts w:asciiTheme="minorHAnsi" w:hAnsiTheme="minorHAnsi" w:cstheme="minorHAnsi"/>
        </w:rPr>
        <w:t>.</w:t>
      </w:r>
    </w:p>
    <w:p w:rsidR="00F33560" w:rsidRPr="00923D98" w:rsidP="00C20DEA" w14:paraId="79746890" w14:textId="6BF944DC">
      <w:pPr>
        <w:spacing w:after="120"/>
        <w:jc w:val="both"/>
        <w:rPr>
          <w:rFonts w:asciiTheme="minorHAnsi" w:hAnsiTheme="minorHAnsi" w:cstheme="minorHAnsi"/>
        </w:rPr>
      </w:pPr>
      <w:r w:rsidRPr="00923D98">
        <w:rPr>
          <w:rFonts w:asciiTheme="minorHAnsi" w:hAnsiTheme="minorHAnsi" w:cstheme="minorHAnsi"/>
        </w:rPr>
        <w:t xml:space="preserve">Dalším opatřením bude </w:t>
      </w:r>
      <w:r w:rsidRPr="00923D98">
        <w:rPr>
          <w:rFonts w:asciiTheme="minorHAnsi" w:hAnsiTheme="minorHAnsi" w:cstheme="minorHAnsi"/>
          <w:b/>
          <w:bCs/>
        </w:rPr>
        <w:t>rozšíření systému rezervací u Správy státních hmotných rezerv o</w:t>
      </w:r>
      <w:r w:rsidRPr="00923D98" w:rsidR="00C20DEA">
        <w:rPr>
          <w:rFonts w:asciiTheme="minorHAnsi" w:hAnsiTheme="minorHAnsi" w:cstheme="minorHAnsi"/>
          <w:b/>
          <w:bCs/>
        </w:rPr>
        <w:t> </w:t>
      </w:r>
      <w:r w:rsidRPr="00923D98">
        <w:rPr>
          <w:rFonts w:asciiTheme="minorHAnsi" w:hAnsiTheme="minorHAnsi" w:cstheme="minorHAnsi"/>
          <w:b/>
          <w:bCs/>
        </w:rPr>
        <w:t>léčivé přípravky uvedené v seznamu kritických léčiv</w:t>
      </w:r>
      <w:r w:rsidRPr="00923D98">
        <w:rPr>
          <w:rFonts w:asciiTheme="minorHAnsi" w:hAnsiTheme="minorHAnsi" w:cstheme="minorHAnsi"/>
        </w:rPr>
        <w:t>, a to v návaznosti na pilotní projekt započatý v roce 2024, konkrétně např. rezervace perorálních antibiotik pro účely řešení potenciálních budoucích nedostupností. Tímto opatřením bude v dodavatelském řetězci vytvořena rezerva významných léčivých přípravků, které v případě potřeby (při výpadku dodávek či za účelem řešení krizí) bude možné uvolnit do lékáren pro zajištění léčby pacientů. Doplňkově budou obdobným způsobem rezervovány i léčivé přípravky použitelné pro řešení CBRN hrozeb. Výhodou uvedeného systému je, že bude zajištěna přirozená obměna rezervovaných balení, a tudíž nebude s léčivými přípravky nakládáno nehospodárně, zejména s ohledem na stanovenou dobu použitelnosti. Očekávají se náklady ze státního rozpočtu v období let 2026 až 2031 v objemu 7 mld. Kč.</w:t>
      </w:r>
    </w:p>
    <w:p w:rsidR="00F33560" w:rsidRPr="00923D98" w:rsidP="00C20DEA" w14:paraId="01DC4BBC" w14:textId="1E4F0CF0">
      <w:pPr>
        <w:spacing w:after="120"/>
        <w:jc w:val="both"/>
        <w:rPr>
          <w:rFonts w:asciiTheme="minorHAnsi" w:hAnsiTheme="minorHAnsi" w:cstheme="minorHAnsi"/>
        </w:rPr>
      </w:pPr>
      <w:r w:rsidRPr="00923D98">
        <w:rPr>
          <w:rFonts w:asciiTheme="minorHAnsi" w:hAnsiTheme="minorHAnsi" w:cstheme="minorHAnsi"/>
        </w:rPr>
        <w:t xml:space="preserve">Dalším opatřením je </w:t>
      </w:r>
      <w:r w:rsidRPr="00923D98">
        <w:rPr>
          <w:rFonts w:asciiTheme="minorHAnsi" w:hAnsiTheme="minorHAnsi" w:cstheme="minorHAnsi"/>
          <w:b/>
          <w:bCs/>
        </w:rPr>
        <w:t>rozšíření výčtu léčiv v systému rezervních zásob</w:t>
      </w:r>
      <w:r w:rsidRPr="00923D98">
        <w:rPr>
          <w:rFonts w:asciiTheme="minorHAnsi" w:hAnsiTheme="minorHAnsi" w:cstheme="minorHAnsi"/>
        </w:rPr>
        <w:t>, kdy tato možnost vyplývá z novely zákona o léčivech účinné od roku 2024. Tento nástroj je podobný systému rezervací Správou státních hmotných rezerv, avšak je plně v rukou Ministerstva zdravotnictví. Ministerstvo zdravotnictví ve spolupráci se Státním ústavem pro kontrolu léčiv budou dále analyzovat situaci na trhu a predikovat potenciální nedostupnosti léčivých přípravků a</w:t>
      </w:r>
      <w:r w:rsidRPr="00923D98" w:rsidR="000E4AA3">
        <w:rPr>
          <w:rFonts w:asciiTheme="minorHAnsi" w:hAnsiTheme="minorHAnsi" w:cstheme="minorHAnsi"/>
        </w:rPr>
        <w:t> </w:t>
      </w:r>
      <w:r w:rsidRPr="00923D98">
        <w:rPr>
          <w:rFonts w:asciiTheme="minorHAnsi" w:hAnsiTheme="minorHAnsi" w:cstheme="minorHAnsi"/>
        </w:rPr>
        <w:t>přikazovat vytvářet měsíční zásoby léčivých přípravků na úrovni distribuce. Toto opatření povede k dalšímu zvýšení odolnosti dodavatelského řetězce a mělo by napomáhat snižovat dopady výpadků léčiv na pacienty v České republice. Očekávané náklady představují přibližně 1 mld. Kč z veřejného zdravotního pojištění v letech 2026 až 2031.</w:t>
      </w:r>
    </w:p>
    <w:p w:rsidR="00F33560" w:rsidRPr="00923D98" w:rsidP="00C20DEA" w14:paraId="7B5222AA" w14:textId="77777777">
      <w:pPr>
        <w:spacing w:after="120"/>
        <w:jc w:val="both"/>
        <w:rPr>
          <w:rFonts w:asciiTheme="minorHAnsi" w:hAnsiTheme="minorHAnsi" w:cstheme="minorHAnsi"/>
        </w:rPr>
      </w:pPr>
      <w:r w:rsidRPr="00923D98">
        <w:rPr>
          <w:rFonts w:asciiTheme="minorHAnsi" w:hAnsiTheme="minorHAnsi" w:cstheme="minorHAnsi"/>
        </w:rPr>
        <w:t xml:space="preserve">Druhý dílčí cíl se skládá ze dvou opatření, která jsou vzájemně provázána a napomohou státním orgánům, lékařům i pacientům v orientaci na trhu s léčivými přípravky. </w:t>
      </w:r>
    </w:p>
    <w:p w:rsidR="00F33560" w:rsidRPr="00923D98" w:rsidP="00C20DEA" w14:paraId="1908DCE2" w14:textId="77777777">
      <w:pPr>
        <w:spacing w:after="120"/>
        <w:jc w:val="both"/>
        <w:rPr>
          <w:rFonts w:asciiTheme="minorHAnsi" w:hAnsiTheme="minorHAnsi" w:cstheme="minorHAnsi"/>
        </w:rPr>
      </w:pPr>
      <w:r w:rsidRPr="00923D98">
        <w:rPr>
          <w:rFonts w:asciiTheme="minorHAnsi" w:hAnsiTheme="minorHAnsi" w:cstheme="minorHAnsi"/>
        </w:rPr>
        <w:t xml:space="preserve">Prvním opatřením je </w:t>
      </w:r>
      <w:r w:rsidRPr="00923D98">
        <w:rPr>
          <w:rFonts w:asciiTheme="minorHAnsi" w:hAnsiTheme="minorHAnsi" w:cstheme="minorHAnsi"/>
          <w:b/>
          <w:bCs/>
        </w:rPr>
        <w:t>sběr dat o dostupnosti léčivých přípravků i v rozsahu léčivých přípravků</w:t>
      </w:r>
      <w:r w:rsidRPr="00923D98">
        <w:rPr>
          <w:rFonts w:asciiTheme="minorHAnsi" w:hAnsiTheme="minorHAnsi" w:cstheme="minorHAnsi"/>
        </w:rPr>
        <w:t xml:space="preserve">, které nejsou hrazeny z veřejného zdravotního pojištění nebo které nemají stanovenou maximální cenu a druhým dílčím opatřením je </w:t>
      </w:r>
      <w:r w:rsidRPr="00923D98">
        <w:rPr>
          <w:rFonts w:asciiTheme="minorHAnsi" w:hAnsiTheme="minorHAnsi" w:cstheme="minorHAnsi"/>
          <w:b/>
          <w:bCs/>
        </w:rPr>
        <w:t>zvýšení frekvence sběru dat z trhu</w:t>
      </w:r>
      <w:r w:rsidRPr="00923D98">
        <w:rPr>
          <w:rFonts w:asciiTheme="minorHAnsi" w:hAnsiTheme="minorHAnsi" w:cstheme="minorHAnsi"/>
        </w:rPr>
        <w:t xml:space="preserve">. Opatření mají za cíl poskytnout komplexní informaci o reálném okamžitém stavu zásob všech léčivých přípravků na trhu v České republice i s určením konkrétního subjektu, který danými léčivými přípravky a v jakém množství aktuálně disponuje. Toto má za cíl zlepšení plynulosti dodávek léčivých přípravků napříč dodavatelským řetězcem a současně i pacient si bude moct ověřit skladové zásoby jednotlivých lékáren a bude si tak moci vybrat konkrétní lékárnu, která daným </w:t>
      </w:r>
      <w:r w:rsidRPr="00923D98">
        <w:rPr>
          <w:rFonts w:asciiTheme="minorHAnsi" w:hAnsiTheme="minorHAnsi" w:cstheme="minorHAnsi"/>
        </w:rPr>
        <w:t xml:space="preserve">léčivým přípravkem skutečně disponuje. Obě opatření by měla být implementována v letech 2028 až 2030 s předpokládanými náklady na rozvoj systému eRecept v celkové výši 20 milionů Kč.   </w:t>
      </w:r>
    </w:p>
    <w:p w:rsidR="00F33560" w:rsidRPr="00923D98" w:rsidP="00C20DEA" w14:paraId="040E7DBB" w14:textId="77777777">
      <w:pPr>
        <w:spacing w:after="120"/>
        <w:jc w:val="both"/>
        <w:rPr>
          <w:rFonts w:asciiTheme="minorHAnsi" w:hAnsiTheme="minorHAnsi" w:cstheme="minorHAnsi"/>
        </w:rPr>
      </w:pPr>
      <w:r w:rsidRPr="00923D98">
        <w:rPr>
          <w:rFonts w:asciiTheme="minorHAnsi" w:hAnsiTheme="minorHAnsi" w:cstheme="minorHAnsi"/>
        </w:rPr>
        <w:t xml:space="preserve">Obsah třetího dílčího cíle reaguje na identifikaci slabých míst současné praxe, která je charakterizována nejednoznačným rozdělením odpovědností za dostupnost léčivých přípravků. Některé subjekty se odpovědnosti zříkají, zatímco jiné ji prakticky nemají. Tato situace komplikuje nalezení rychlého a efektivního řešení pro pacienty v případě nedostupnosti léčivých přípravků. Opatření tedy směřují </w:t>
      </w:r>
      <w:r w:rsidRPr="00923D98">
        <w:rPr>
          <w:rFonts w:asciiTheme="minorHAnsi" w:hAnsiTheme="minorHAnsi" w:cstheme="minorHAnsi"/>
          <w:b/>
          <w:bCs/>
        </w:rPr>
        <w:t>k jasnému vymezení spoluzodpovědnosti všech zainteresovaných stran za dostupnost léčivých přípravků</w:t>
      </w:r>
      <w:r w:rsidRPr="00923D98">
        <w:rPr>
          <w:rFonts w:asciiTheme="minorHAnsi" w:hAnsiTheme="minorHAnsi" w:cstheme="minorHAnsi"/>
        </w:rPr>
        <w:t xml:space="preserve">, přičemž největší prostor pro změnu je u zdravotních pojišťoven. Tyto subjekty zajišťují zdravotní péči pro své pojištěnce, což by mělo zahrnovat i dostupnost léčivých přípravků. Od 1. ledna 2026 budou mít zdravotní pojišťovny možnost centrálně zadávat veřejné zakázky na nové i dosud nehrazené léčivé přípravky (např. genové terapie), čímž prostřednictvím dohody s distributory vzniká prostor pro snižování nákladů z veřejného zdravotního pojištění. Současně budou zdravotní pojišťovny hradit pořízení a distribuci léčivých přípravků, které pro Českou republiku zajistí Evropská unie, mezinárodní organizace nebo uskupení států, jehož je Česká republika členem. Z dosavadních zkušeností vyplývá, že </w:t>
      </w:r>
      <w:r w:rsidRPr="00923D98">
        <w:rPr>
          <w:rFonts w:asciiTheme="minorHAnsi" w:hAnsiTheme="minorHAnsi" w:cstheme="minorHAnsi"/>
          <w:b/>
          <w:bCs/>
        </w:rPr>
        <w:t>je zapotřebí legislativně ukotvit způsob zajištění potřeb pacientů ve vztahu k množství a časovým intervalům dodávek léčivých přípravků</w:t>
      </w:r>
      <w:r w:rsidRPr="00923D98">
        <w:rPr>
          <w:rFonts w:asciiTheme="minorHAnsi" w:hAnsiTheme="minorHAnsi" w:cstheme="minorHAnsi"/>
        </w:rPr>
        <w:t>, aby držitelé rozhodnutí o registraci měli postaveno na jisto, jaké množství léčivých přípravků a v jakých intervalech mají povinnost dodávat na trh v České republice.</w:t>
      </w:r>
    </w:p>
    <w:p w:rsidR="00F33560" w:rsidRPr="00923D98" w:rsidP="00C20DEA" w14:paraId="3AFA282E" w14:textId="0A17CED8">
      <w:pPr>
        <w:spacing w:after="120"/>
        <w:jc w:val="both"/>
        <w:rPr>
          <w:rFonts w:asciiTheme="minorHAnsi" w:hAnsiTheme="minorHAnsi" w:cstheme="minorHAnsi"/>
          <w:highlight w:val="green"/>
        </w:rPr>
      </w:pPr>
      <w:r w:rsidRPr="00923D98">
        <w:rPr>
          <w:rFonts w:asciiTheme="minorHAnsi" w:hAnsiTheme="minorHAnsi" w:cstheme="minorHAnsi"/>
        </w:rPr>
        <w:t xml:space="preserve">V neposlední řadě bude do budoucna potřeba </w:t>
      </w:r>
      <w:r w:rsidRPr="00923D98">
        <w:rPr>
          <w:rFonts w:asciiTheme="minorHAnsi" w:hAnsiTheme="minorHAnsi" w:cstheme="minorHAnsi"/>
          <w:b/>
          <w:bCs/>
        </w:rPr>
        <w:t>rozšířit pravomoc Státního ústavu pro kontrolu léčiv označovat léčivé přípravky příznakem „omezená dostupnost“ tak, aby se nejednalo pouze o reakci na oznámení přerušení či ukončení dodávek léčivého přípravku na trh v České republice</w:t>
      </w:r>
      <w:r w:rsidRPr="00923D98">
        <w:rPr>
          <w:rFonts w:asciiTheme="minorHAnsi" w:hAnsiTheme="minorHAnsi" w:cstheme="minorHAnsi"/>
        </w:rPr>
        <w:t>. Existuje řada případů, ve kterých by bylo na základě vyhodnocení situace na trhu a</w:t>
      </w:r>
      <w:r w:rsidRPr="00923D98" w:rsidR="00B95F37">
        <w:rPr>
          <w:rFonts w:asciiTheme="minorHAnsi" w:hAnsiTheme="minorHAnsi" w:cstheme="minorHAnsi"/>
        </w:rPr>
        <w:t> </w:t>
      </w:r>
      <w:r w:rsidRPr="00923D98">
        <w:rPr>
          <w:rFonts w:asciiTheme="minorHAnsi" w:hAnsiTheme="minorHAnsi" w:cstheme="minorHAnsi"/>
        </w:rPr>
        <w:t xml:space="preserve">dalších informací získaných z úřední činnosti potřeba označit léčivý přípravek tímto příznakem dříve, než je držitelem rozhodnutí o registraci oficiálně oznámeno přerušení či ukončení dodávek léčivého přípravku na trh. Současně </w:t>
      </w:r>
      <w:r w:rsidRPr="00923D98">
        <w:rPr>
          <w:rFonts w:asciiTheme="minorHAnsi" w:hAnsiTheme="minorHAnsi" w:cstheme="minorHAnsi"/>
          <w:b/>
          <w:bCs/>
        </w:rPr>
        <w:t>je vhodné rozšířit pravomoc označovat léčivé přípravky příznakem „omezená dostupnost“ i na léčivé přípravky, které nemají stanovenou maximální cenu nebo úhradu z veřejného zdravotního pojištění</w:t>
      </w:r>
      <w:r w:rsidRPr="00923D98">
        <w:rPr>
          <w:rFonts w:asciiTheme="minorHAnsi" w:hAnsiTheme="minorHAnsi" w:cstheme="minorHAnsi"/>
        </w:rPr>
        <w:t>, neboť ty mohou též být významné pro poskytování zdravotních služeb, a tudíž důležité pro zajištění stanovené léčby. Je však zapotřebí nastavit legislativní rámec tak, aby nebyl v rozporu s</w:t>
      </w:r>
      <w:r w:rsidRPr="00923D98" w:rsidR="00B95F37">
        <w:rPr>
          <w:rFonts w:asciiTheme="minorHAnsi" w:hAnsiTheme="minorHAnsi" w:cstheme="minorHAnsi"/>
        </w:rPr>
        <w:t> </w:t>
      </w:r>
      <w:r w:rsidRPr="00923D98">
        <w:rPr>
          <w:rFonts w:asciiTheme="minorHAnsi" w:hAnsiTheme="minorHAnsi" w:cstheme="minorHAnsi"/>
        </w:rPr>
        <w:t>pravidly volného pohybu zboží Evropské unie.</w:t>
      </w:r>
    </w:p>
    <w:p w:rsidR="00F33560" w:rsidRPr="00923D98" w:rsidP="00C20DEA" w14:paraId="29E43DDC" w14:textId="77777777">
      <w:pPr>
        <w:spacing w:after="120"/>
        <w:jc w:val="both"/>
        <w:rPr>
          <w:rFonts w:asciiTheme="minorHAnsi" w:hAnsiTheme="minorHAnsi" w:cstheme="minorHAnsi"/>
        </w:rPr>
      </w:pPr>
      <w:r w:rsidRPr="00923D98">
        <w:rPr>
          <w:rFonts w:asciiTheme="minorHAnsi" w:hAnsiTheme="minorHAnsi" w:cstheme="minorHAnsi"/>
        </w:rPr>
        <w:t xml:space="preserve">Ke zvýšení dostupnosti léčiv vzhledem k identifikovaným regionálním rozdílům, a to zejména u pacientů, kteří pravidelně a dlouhodobě užívají stejné léčivé přípravky, případně u pacientů hendikepovaných, přispěje ke zvýšení dostupnosti čtvrtý dílčí cíl, kterým je </w:t>
      </w:r>
      <w:r w:rsidRPr="00923D98">
        <w:rPr>
          <w:rFonts w:asciiTheme="minorHAnsi" w:hAnsiTheme="minorHAnsi" w:cstheme="minorHAnsi"/>
          <w:b/>
          <w:bCs/>
        </w:rPr>
        <w:t>zásilkový výdej léčiv, jejichž výdej je vázán na lékařský předpis a emergentní výdej</w:t>
      </w:r>
      <w:r w:rsidRPr="00923D98">
        <w:rPr>
          <w:rFonts w:asciiTheme="minorHAnsi" w:hAnsiTheme="minorHAnsi" w:cstheme="minorHAnsi"/>
        </w:rPr>
        <w:t xml:space="preserve">. </w:t>
      </w:r>
    </w:p>
    <w:p w:rsidR="00F33560" w:rsidRPr="00923D98" w:rsidP="00C20DEA" w14:paraId="3425EFE6" w14:textId="5CAF02A7">
      <w:pPr>
        <w:spacing w:after="120"/>
        <w:jc w:val="both"/>
        <w:rPr>
          <w:rFonts w:asciiTheme="minorHAnsi" w:hAnsiTheme="minorHAnsi" w:cstheme="minorHAnsi"/>
        </w:rPr>
      </w:pPr>
      <w:r w:rsidRPr="00923D98">
        <w:rPr>
          <w:rFonts w:asciiTheme="minorHAnsi" w:hAnsiTheme="minorHAnsi" w:cstheme="minorHAnsi"/>
        </w:rPr>
        <w:t xml:space="preserve">Realizace obou opatření je možná pouze prostřednictvím legislativní změny v podobě novely zákona o léčivech. Obě opatření významně pozitivně ovlivní přístup pacientů k léčivým přípravkům, jejichž výdej je vázán na lékařský předpis. Zásilkový výdej receptových léčivých přípravků umožní pacientům objednat si lékařem předepsaný léčivý přípravek v libovolné lékárně, která bude poskytovat službu zásilkového výdeje receptových léčivých přípravků, </w:t>
      </w:r>
      <w:r w:rsidRPr="00923D98">
        <w:rPr>
          <w:rFonts w:asciiTheme="minorHAnsi" w:hAnsiTheme="minorHAnsi" w:cstheme="minorHAnsi"/>
        </w:rPr>
        <w:t>a</w:t>
      </w:r>
      <w:r w:rsidRPr="00923D98" w:rsidR="00B95F37">
        <w:rPr>
          <w:rFonts w:asciiTheme="minorHAnsi" w:hAnsiTheme="minorHAnsi" w:cstheme="minorHAnsi"/>
        </w:rPr>
        <w:t> </w:t>
      </w:r>
      <w:r w:rsidRPr="00923D98">
        <w:rPr>
          <w:rFonts w:asciiTheme="minorHAnsi" w:hAnsiTheme="minorHAnsi" w:cstheme="minorHAnsi"/>
        </w:rPr>
        <w:t xml:space="preserve">tudíž i v případě, že lékárny v dostupné vzdálenosti od pacienta nedisponují požadovaným léčivým přípravkem, toto opatření kromě řešení lokální nedostupnosti rovněž </w:t>
      </w:r>
      <w:r w:rsidRPr="00923D98">
        <w:rPr>
          <w:rFonts w:asciiTheme="minorHAnsi" w:hAnsiTheme="minorHAnsi" w:cstheme="minorHAnsi"/>
        </w:rPr>
        <w:t>zvýší</w:t>
      </w:r>
      <w:r w:rsidRPr="00923D98">
        <w:rPr>
          <w:rFonts w:asciiTheme="minorHAnsi" w:hAnsiTheme="minorHAnsi" w:cstheme="minorHAnsi"/>
        </w:rPr>
        <w:t xml:space="preserve"> komfort pacienta a napomůže mu jednoduše si opatřit potřebný léčivý přípravek. Zavedení možnosti tzv. emergentního výdeje je doplňkovým opatřením, s jehož využitím bude možné pacientovi vydat za stanových podmínek léčivý přípravek, který běžně užívá (chronická terapie) i bez lékařského předpisu. Toto opatření napomůže eliminovat situace, kdy si pacient z jakéhokoli důvodu nemůže opatřit od svého ošetřujícího lékaře recept na další balení léčivého přípravku pro účely pokračování léčby. V případě splnění stanovených podmínek tak nebude docházet k situaci, kdy by pacient z důvodu dočasné nedostupnosti lékařské péče neměl k dispozici svou léčbu. Pro účely realizace obou uvedených opatření je však zapotřebí nastavit pravidla, aby nebyla ohrožena bezpečnost, účinnost a jakost léčivých přípravků a aby byly dodrženy léčebné postupy stanovené ošetřujícím lékařem a zajištěna bezpečnost pacienta. Odhadované náklady ze státního rozpočtu na realizaci uvedených opatření jsou přibližně 100 milionů Kč. </w:t>
      </w:r>
    </w:p>
    <w:p w:rsidR="00F33560" w:rsidRPr="00923D98" w:rsidP="00C20DEA" w14:paraId="2E710F44" w14:textId="77777777">
      <w:pPr>
        <w:spacing w:after="120" w:line="264" w:lineRule="auto"/>
        <w:jc w:val="both"/>
        <w:rPr>
          <w:rFonts w:asciiTheme="minorHAnsi" w:hAnsiTheme="minorHAnsi" w:cstheme="minorHAnsi"/>
        </w:rPr>
      </w:pPr>
      <w:r w:rsidRPr="00923D98">
        <w:rPr>
          <w:rFonts w:asciiTheme="minorHAnsi" w:hAnsiTheme="minorHAnsi" w:cstheme="minorHAnsi"/>
        </w:rPr>
        <w:t xml:space="preserve">Ve snaze </w:t>
      </w:r>
      <w:r w:rsidRPr="00923D98">
        <w:rPr>
          <w:rFonts w:asciiTheme="minorHAnsi" w:hAnsiTheme="minorHAnsi" w:cstheme="minorHAnsi"/>
          <w:b/>
          <w:bCs/>
        </w:rPr>
        <w:t>zmenšit závislost na dovozu léků</w:t>
      </w:r>
      <w:r w:rsidRPr="00923D98">
        <w:rPr>
          <w:rFonts w:asciiTheme="minorHAnsi" w:hAnsiTheme="minorHAnsi" w:cstheme="minorHAnsi"/>
        </w:rPr>
        <w:t xml:space="preserve">, často ze zemí mimo Evropskou unii, bylo v rámci </w:t>
      </w:r>
      <w:r w:rsidRPr="00923D98">
        <w:rPr>
          <w:rFonts w:asciiTheme="minorHAnsi" w:hAnsiTheme="minorHAnsi" w:cstheme="minorHAnsi"/>
          <w:i/>
          <w:iCs/>
        </w:rPr>
        <w:t>Hospodářské strategie České republiky: Česko do top 10</w:t>
      </w:r>
      <w:r>
        <w:rPr>
          <w:rStyle w:val="FootnoteReference"/>
          <w:rFonts w:asciiTheme="minorHAnsi" w:hAnsiTheme="minorHAnsi" w:cstheme="minorHAnsi"/>
        </w:rPr>
        <w:footnoteReference w:id="5"/>
      </w:r>
      <w:r w:rsidRPr="00923D98">
        <w:rPr>
          <w:rFonts w:asciiTheme="minorHAnsi" w:hAnsiTheme="minorHAnsi" w:cstheme="minorHAnsi"/>
        </w:rPr>
        <w:t>, do prvního implementačního plánu stejnojmenné strategie zařazeno opatření „Posílení soběstačnosti ve výrobě humánních léčiv a léčivých látek tzv. API (aktivní ingredience)“. V rámci zajištění souladu a synergie jsou aktivity součástí i aktualizace Zdraví 2035. Obsahem implementace bude:</w:t>
      </w:r>
    </w:p>
    <w:p w:rsidR="00F33560" w:rsidRPr="00923D98" w:rsidP="00C20DEA" w14:paraId="42636CD5" w14:textId="1315D016">
      <w:pPr>
        <w:pStyle w:val="ListParagraph"/>
        <w:numPr>
          <w:ilvl w:val="0"/>
          <w:numId w:val="44"/>
        </w:numPr>
        <w:autoSpaceDE w:val="0"/>
        <w:autoSpaceDN w:val="0"/>
        <w:adjustRightInd w:val="0"/>
        <w:spacing w:after="120" w:line="264" w:lineRule="auto"/>
        <w:contextualSpacing w:val="0"/>
        <w:jc w:val="both"/>
        <w:rPr>
          <w:rFonts w:asciiTheme="minorHAnsi" w:hAnsiTheme="minorHAnsi" w:cstheme="minorHAnsi"/>
        </w:rPr>
      </w:pPr>
      <w:r w:rsidRPr="00923D98">
        <w:rPr>
          <w:rFonts w:asciiTheme="minorHAnsi" w:hAnsiTheme="minorHAnsi" w:cstheme="minorHAnsi"/>
        </w:rPr>
        <w:t>zřízení pozice sektorových specialistů (na úrovni ministerských radů) dedikovaných pro oblasti farmacie, medicínské technologie a výroby léčivých přípravků (2026) v MZD a</w:t>
      </w:r>
      <w:r w:rsidRPr="00923D98" w:rsidR="00B95F37">
        <w:rPr>
          <w:rFonts w:asciiTheme="minorHAnsi" w:hAnsiTheme="minorHAnsi" w:cstheme="minorHAnsi"/>
        </w:rPr>
        <w:t> </w:t>
      </w:r>
      <w:r w:rsidRPr="00923D98">
        <w:rPr>
          <w:rFonts w:asciiTheme="minorHAnsi" w:hAnsiTheme="minorHAnsi" w:cstheme="minorHAnsi"/>
        </w:rPr>
        <w:t>MPO;</w:t>
      </w:r>
    </w:p>
    <w:p w:rsidR="00F33560" w:rsidRPr="00923D98" w:rsidP="00C20DEA" w14:paraId="7B530C01" w14:textId="77777777">
      <w:pPr>
        <w:pStyle w:val="ListParagraph"/>
        <w:numPr>
          <w:ilvl w:val="0"/>
          <w:numId w:val="44"/>
        </w:numPr>
        <w:autoSpaceDE w:val="0"/>
        <w:autoSpaceDN w:val="0"/>
        <w:adjustRightInd w:val="0"/>
        <w:spacing w:after="120" w:line="264" w:lineRule="auto"/>
        <w:contextualSpacing w:val="0"/>
        <w:jc w:val="both"/>
        <w:rPr>
          <w:rFonts w:asciiTheme="minorHAnsi" w:hAnsiTheme="minorHAnsi" w:cstheme="minorHAnsi"/>
        </w:rPr>
      </w:pPr>
      <w:r w:rsidRPr="00923D98">
        <w:rPr>
          <w:rFonts w:asciiTheme="minorHAnsi" w:hAnsiTheme="minorHAnsi" w:cstheme="minorHAnsi"/>
        </w:rPr>
        <w:t>zmapování stávající i chybějící kompetence pro výzkum a vývoj léčiv i diagnostik, se zvláštním zaměřením na průmyslový výzkum, experimentální vývoj, velké výzkumné infrastruktury v medicíně a centra kompetencí na výzkumných a vzdělávacích institucích realizujících mj. vědecké projekty transferovatelné do průmyslových aplikací (2026);</w:t>
      </w:r>
    </w:p>
    <w:p w:rsidR="00F33560" w:rsidRPr="00923D98" w:rsidP="00C20DEA" w14:paraId="3C008065" w14:textId="17BA8B3E">
      <w:pPr>
        <w:pStyle w:val="ListParagraph"/>
        <w:numPr>
          <w:ilvl w:val="0"/>
          <w:numId w:val="44"/>
        </w:numPr>
        <w:autoSpaceDE w:val="0"/>
        <w:autoSpaceDN w:val="0"/>
        <w:adjustRightInd w:val="0"/>
        <w:spacing w:after="120" w:line="264" w:lineRule="auto"/>
        <w:contextualSpacing w:val="0"/>
        <w:jc w:val="both"/>
        <w:rPr>
          <w:rFonts w:asciiTheme="minorHAnsi" w:hAnsiTheme="minorHAnsi" w:cstheme="minorHAnsi"/>
        </w:rPr>
      </w:pPr>
      <w:r w:rsidRPr="00923D98">
        <w:rPr>
          <w:rFonts w:asciiTheme="minorHAnsi" w:hAnsiTheme="minorHAnsi" w:cstheme="minorHAnsi"/>
        </w:rPr>
        <w:t>zpracování Národního plánu pro farmaceutický průmysl analyzující stav sektoru v ČR a</w:t>
      </w:r>
      <w:r w:rsidRPr="00923D98" w:rsidR="0078624D">
        <w:rPr>
          <w:rFonts w:asciiTheme="minorHAnsi" w:hAnsiTheme="minorHAnsi" w:cstheme="minorHAnsi"/>
        </w:rPr>
        <w:t> </w:t>
      </w:r>
      <w:r w:rsidRPr="00923D98">
        <w:rPr>
          <w:rFonts w:asciiTheme="minorHAnsi" w:hAnsiTheme="minorHAnsi" w:cstheme="minorHAnsi"/>
        </w:rPr>
        <w:t>jeho potřeby, a navrhující opatření pro jeho rozvoj (2027);</w:t>
      </w:r>
    </w:p>
    <w:p w:rsidR="00F33560" w:rsidRPr="00923D98" w:rsidP="00C20DEA" w14:paraId="7A4A6A3F" w14:textId="30EF2BA3">
      <w:pPr>
        <w:pStyle w:val="ListParagraph"/>
        <w:numPr>
          <w:ilvl w:val="0"/>
          <w:numId w:val="44"/>
        </w:numPr>
        <w:autoSpaceDE w:val="0"/>
        <w:autoSpaceDN w:val="0"/>
        <w:adjustRightInd w:val="0"/>
        <w:spacing w:after="120" w:line="264" w:lineRule="auto"/>
        <w:contextualSpacing w:val="0"/>
        <w:jc w:val="both"/>
        <w:rPr>
          <w:rFonts w:asciiTheme="minorHAnsi" w:hAnsiTheme="minorHAnsi" w:cstheme="minorHAnsi"/>
        </w:rPr>
      </w:pPr>
      <w:r w:rsidRPr="00923D98">
        <w:rPr>
          <w:rFonts w:asciiTheme="minorHAnsi" w:hAnsiTheme="minorHAnsi" w:cstheme="minorHAnsi"/>
        </w:rPr>
        <w:t>přípravu projektu v rámci výzvy Technologické platformy II, jehož primárním cílem bude zpracování akčního plánu pro implementaci směrnice Evropského parlamentu a</w:t>
      </w:r>
      <w:r w:rsidR="00E61E2C">
        <w:rPr>
          <w:rFonts w:asciiTheme="minorHAnsi" w:hAnsiTheme="minorHAnsi" w:cstheme="minorHAnsi"/>
        </w:rPr>
        <w:t> </w:t>
      </w:r>
      <w:r w:rsidRPr="00923D98">
        <w:rPr>
          <w:rFonts w:asciiTheme="minorHAnsi" w:hAnsiTheme="minorHAnsi" w:cstheme="minorHAnsi"/>
        </w:rPr>
        <w:t xml:space="preserve">Rady (EU) 2024/3019 ze dne 27. listopadu 2024 o čištění městských odpadních vod (přepracované znění) (UWWTD) v ČR. Součástí tohoto projektu dojde ke zpracování výrobní mapy farmaceutického průmyslu v ČR. Na základě výše uvedeného bude </w:t>
      </w:r>
      <w:r w:rsidRPr="00923D98">
        <w:rPr>
          <w:rFonts w:asciiTheme="minorHAnsi" w:hAnsiTheme="minorHAnsi" w:cstheme="minorHAnsi"/>
        </w:rPr>
        <w:t xml:space="preserve">možné činit informovaná rozhodnutí o cílené podpoře výroby konkrétních léčivých přípravků, která </w:t>
      </w:r>
      <w:r w:rsidRPr="00923D98">
        <w:rPr>
          <w:rFonts w:asciiTheme="minorHAnsi" w:hAnsiTheme="minorHAnsi" w:cstheme="minorHAnsi"/>
        </w:rPr>
        <w:t>sníží</w:t>
      </w:r>
      <w:r w:rsidRPr="00923D98">
        <w:rPr>
          <w:rFonts w:asciiTheme="minorHAnsi" w:hAnsiTheme="minorHAnsi" w:cstheme="minorHAnsi"/>
        </w:rPr>
        <w:t xml:space="preserve"> strategickou závislost a zranitelnost ČR a EU (2026);</w:t>
      </w:r>
    </w:p>
    <w:p w:rsidR="00F33560" w:rsidRPr="00923D98" w:rsidP="00C20DEA" w14:paraId="13DADEA3" w14:textId="1E551605">
      <w:pPr>
        <w:pStyle w:val="ListParagraph"/>
        <w:numPr>
          <w:ilvl w:val="0"/>
          <w:numId w:val="44"/>
        </w:numPr>
        <w:autoSpaceDE w:val="0"/>
        <w:autoSpaceDN w:val="0"/>
        <w:adjustRightInd w:val="0"/>
        <w:spacing w:after="120" w:line="264" w:lineRule="auto"/>
        <w:contextualSpacing w:val="0"/>
        <w:jc w:val="both"/>
        <w:rPr>
          <w:rFonts w:asciiTheme="minorHAnsi" w:hAnsiTheme="minorHAnsi" w:cstheme="minorHAnsi"/>
        </w:rPr>
      </w:pPr>
      <w:r w:rsidRPr="00923D98">
        <w:rPr>
          <w:rFonts w:asciiTheme="minorHAnsi" w:hAnsiTheme="minorHAnsi" w:cstheme="minorHAnsi"/>
        </w:rPr>
        <w:t>přípravu na implementaci nařízení o kriticky důležitých léčivech (Critical Medicines Act) pro posílení konkurenceschopnosti projektů tuzemských výrobců ucházet se včas o finanční a regulatorní podporu strategickým projektům posilujícím soběstačnost EU (2026);zavedení investiční pobídky (dotačního programu) pro podporu výroby léčivých přípravků a podpora vybraných strategických projektů odpovídajících konceptům návrhu Critical Medicines Act i za předpokladu potřebné notifikace veřejné podpory u</w:t>
      </w:r>
      <w:r w:rsidRPr="00923D98" w:rsidR="0081741B">
        <w:rPr>
          <w:rFonts w:asciiTheme="minorHAnsi" w:hAnsiTheme="minorHAnsi" w:cstheme="minorHAnsi"/>
        </w:rPr>
        <w:t> </w:t>
      </w:r>
      <w:r w:rsidRPr="00923D98">
        <w:rPr>
          <w:rFonts w:asciiTheme="minorHAnsi" w:hAnsiTheme="minorHAnsi" w:cstheme="minorHAnsi"/>
        </w:rPr>
        <w:t>Evropské komise (2027).</w:t>
      </w:r>
    </w:p>
    <w:p w:rsidR="00F33560" w:rsidRPr="00923D98" w:rsidP="00C20DEA" w14:paraId="4E9BCE7C" w14:textId="7C5AE1EC">
      <w:pPr>
        <w:pStyle w:val="ListParagraph"/>
        <w:spacing w:after="120" w:line="264" w:lineRule="auto"/>
        <w:ind w:left="0"/>
        <w:contextualSpacing w:val="0"/>
        <w:jc w:val="both"/>
        <w:rPr>
          <w:rFonts w:asciiTheme="minorHAnsi" w:hAnsiTheme="minorHAnsi" w:cstheme="minorHAnsi"/>
        </w:rPr>
      </w:pPr>
      <w:r w:rsidRPr="00923D98">
        <w:rPr>
          <w:rFonts w:asciiTheme="minorHAnsi" w:hAnsiTheme="minorHAnsi" w:cstheme="minorHAnsi"/>
        </w:rPr>
        <w:t>Šestý cíl pokrývá oblast financování léčivých přípravků. Dostupnost jak zavedených, tak i</w:t>
      </w:r>
      <w:r w:rsidRPr="00923D98" w:rsidR="0081741B">
        <w:rPr>
          <w:rFonts w:asciiTheme="minorHAnsi" w:hAnsiTheme="minorHAnsi" w:cstheme="minorHAnsi"/>
        </w:rPr>
        <w:t> </w:t>
      </w:r>
      <w:r w:rsidRPr="00923D98">
        <w:rPr>
          <w:rFonts w:asciiTheme="minorHAnsi" w:hAnsiTheme="minorHAnsi" w:cstheme="minorHAnsi"/>
        </w:rPr>
        <w:t xml:space="preserve">inovativních léčiv úzce souvisí s jejich financováním. Podmínkou zajišťování dostupnosti léčiv pro potřeby zdravotní péče je jejich finanční a cenová udržitelnost, a to jak z pohledu systému zdravotního pojištění a pacientů, tak i hospodářských subjektů, které dodávají léčiva na český trh. V rámci tohoto cíle tak budou realizována opatření </w:t>
      </w:r>
      <w:r w:rsidRPr="00923D98">
        <w:rPr>
          <w:rFonts w:asciiTheme="minorHAnsi" w:hAnsiTheme="minorHAnsi" w:cstheme="minorHAnsi"/>
          <w:b/>
        </w:rPr>
        <w:t xml:space="preserve">zajišťující co nejrychlejší vstup generických přípravků na český trh za rovných podmínek, které budou generovat úspory prostředků zdravotního pojištění i pacientů. </w:t>
      </w:r>
      <w:r w:rsidRPr="00923D98">
        <w:rPr>
          <w:rFonts w:asciiTheme="minorHAnsi" w:hAnsiTheme="minorHAnsi" w:cstheme="minorHAnsi"/>
        </w:rPr>
        <w:t>Prostředky zdravotního pojištění tak bude možné efektivněji využít pro úhradu nově vstupujících léčiv nebo léčbu většího počtu pacientů. Využití potenciálu vstupu generik je důležité nejen z důvodu úspor, ale i z hlediska snižování vnější závislosti, neboť v ČR jsou vyráběny pouze generické léčivé přípravky a může tak dojít k podpoře domácího farmaceutického průmyslu. Druhá část realizace cíle bude mířit na změny v oblasti cenové regulace, kde by, s ohledem na vývoj cen vstupů výroby a určité zacyklenosti systému vnějších cenových referencích používaných kromě České republiky i v řadě další členských států EU, mělo dojít k </w:t>
      </w:r>
      <w:r w:rsidRPr="00923D98">
        <w:rPr>
          <w:rFonts w:asciiTheme="minorHAnsi" w:hAnsiTheme="minorHAnsi" w:cstheme="minorHAnsi"/>
          <w:b/>
        </w:rPr>
        <w:t>přehodnocení stávajícího systému</w:t>
      </w:r>
      <w:r w:rsidRPr="00923D98">
        <w:rPr>
          <w:rFonts w:asciiTheme="minorHAnsi" w:hAnsiTheme="minorHAnsi" w:cstheme="minorHAnsi"/>
        </w:rPr>
        <w:t xml:space="preserve">. Další rozšíření způsobů cenové regulace by mělo umožnit reagovat na vývoj v oblasti výroby a dodávek léčiv tak, aby byla zachována dostupnost zavedených léčiv. Nejenom vstup inovací, ale i cenová a úhradová dostupnost zavedených léčiv, která mnohdy představují základ léčby řady onemocnění, je zásadní pro zajištění náležité zdravotní péče o pacienty v ČR. </w:t>
      </w:r>
    </w:p>
    <w:p w:rsidR="009D529D" w:rsidRPr="00923D98" w:rsidP="00C20DEA" w14:paraId="342F6FCD" w14:textId="77777777">
      <w:pPr>
        <w:spacing w:after="120"/>
        <w:jc w:val="both"/>
        <w:rPr>
          <w:rFonts w:asciiTheme="minorHAnsi" w:hAnsiTheme="minorHAnsi" w:cstheme="minorHAnsi"/>
        </w:rPr>
      </w:pPr>
      <w:r w:rsidRPr="00923D98">
        <w:rPr>
          <w:rFonts w:asciiTheme="minorHAnsi" w:hAnsiTheme="minorHAnsi" w:cstheme="minorHAnsi"/>
        </w:rPr>
        <w:t>Posledním dílčím cílem je zajištění modernizace a rozvoje Státního ústavu pro kontrolu léčiv</w:t>
      </w:r>
      <w:r>
        <w:rPr>
          <w:rStyle w:val="FootnoteReference"/>
          <w:rFonts w:asciiTheme="minorHAnsi" w:hAnsiTheme="minorHAnsi" w:cstheme="minorHAnsi"/>
        </w:rPr>
        <w:footnoteReference w:id="6"/>
      </w:r>
      <w:r w:rsidRPr="00923D98">
        <w:rPr>
          <w:rFonts w:asciiTheme="minorHAnsi" w:hAnsiTheme="minorHAnsi" w:cstheme="minorHAnsi"/>
        </w:rPr>
        <w:t xml:space="preserve"> a Ministerstva zdravotnictví. S ohledem na plánované legislativní změny na národní úrovni i</w:t>
      </w:r>
      <w:r w:rsidRPr="00923D98" w:rsidR="00D64B38">
        <w:rPr>
          <w:rFonts w:asciiTheme="minorHAnsi" w:hAnsiTheme="minorHAnsi" w:cstheme="minorHAnsi"/>
        </w:rPr>
        <w:t> </w:t>
      </w:r>
      <w:r w:rsidRPr="00923D98">
        <w:rPr>
          <w:rFonts w:asciiTheme="minorHAnsi" w:hAnsiTheme="minorHAnsi" w:cstheme="minorHAnsi"/>
        </w:rPr>
        <w:t xml:space="preserve">na úrovni Evropské unie je zapotřebí vytvořit dostatečné podmínky v Ministerstvu zdravotnictví a Státním ústavu pro kontrolu léčiv, aby byla udržena vysoká kvalita jejich činnosti nejen v oblasti lékové politiky České republiky. Je zapotřebí vytvořit ve Státním ústavu pro kontrolu léčiv pozice odborných hodnotitelů, koordinátorů i inspektorů, aby byl i v budoucnosti schopen odborně pojmout veškerou regulaci oblasti nejen léčivých přípravků a poskytovat služby veřejnosti na náležité úrovni, v požadované kvalitě, rychle a se zachováním přístupu důrazné ochrany života a zdraví pacientů v České republice. </w:t>
      </w:r>
    </w:p>
    <w:p w:rsidR="003325EC" w:rsidRPr="00923D98" w:rsidP="00C20DEA" w14:paraId="5C089CC5" w14:textId="29416F25">
      <w:pPr>
        <w:spacing w:after="120"/>
        <w:jc w:val="both"/>
        <w:rPr>
          <w:rFonts w:asciiTheme="minorHAnsi" w:hAnsiTheme="minorHAnsi" w:cstheme="minorHAnsi"/>
        </w:rPr>
      </w:pPr>
      <w:r w:rsidRPr="00923D98">
        <w:rPr>
          <w:rFonts w:asciiTheme="minorHAnsi" w:hAnsiTheme="minorHAnsi" w:cstheme="minorHAnsi"/>
        </w:rPr>
        <w:t xml:space="preserve">Jedním ze střednědobých cílů by měla být </w:t>
      </w:r>
      <w:r w:rsidRPr="00923D98">
        <w:rPr>
          <w:rFonts w:asciiTheme="minorHAnsi" w:hAnsiTheme="minorHAnsi" w:cstheme="minorHAnsi"/>
          <w:b/>
          <w:bCs/>
        </w:rPr>
        <w:t>modernizace sídla Státního ústavu pro kontrolu léčiv, a to i s ohledem na navýšení personálních kapacit odpovídající nárůstu agend nebo rozvoj laboratorních prostor</w:t>
      </w:r>
      <w:r w:rsidRPr="00923D98">
        <w:rPr>
          <w:rFonts w:asciiTheme="minorHAnsi" w:hAnsiTheme="minorHAnsi" w:cstheme="minorHAnsi"/>
        </w:rPr>
        <w:t>, které lze efektivně dosáhnout stavbou nové budovy, která poskytne potřebné zázemí pro výkon činností. V neposlední řadě je, i s ohledem na očekávané rozšíření agend vykonávaných na úrovni Ministerstva zdravotnictví, potřeba posílit pozice specialistů v oblasti lékové politiky, a</w:t>
      </w:r>
      <w:r w:rsidRPr="00923D98" w:rsidR="00BA4EC6">
        <w:rPr>
          <w:rFonts w:asciiTheme="minorHAnsi" w:hAnsiTheme="minorHAnsi" w:cstheme="minorHAnsi"/>
        </w:rPr>
        <w:t> </w:t>
      </w:r>
      <w:r w:rsidRPr="00923D98">
        <w:rPr>
          <w:rFonts w:asciiTheme="minorHAnsi" w:hAnsiTheme="minorHAnsi" w:cstheme="minorHAnsi"/>
        </w:rPr>
        <w:t xml:space="preserve">to zejména v oblasti HTA, Horizon scanning apod. Financování výše uvedených opatření lze zajistit kombinací </w:t>
      </w:r>
      <w:r w:rsidRPr="00923D98">
        <w:rPr>
          <w:rFonts w:asciiTheme="minorHAnsi" w:hAnsiTheme="minorHAnsi" w:cstheme="minorHAnsi"/>
          <w:b/>
          <w:bCs/>
        </w:rPr>
        <w:t>zvýšení mimorozpočtového financování Státního ústavu pro kontrolu léčiv a financováním ze státního rozpočtu</w:t>
      </w:r>
      <w:r w:rsidRPr="00923D98">
        <w:rPr>
          <w:rFonts w:asciiTheme="minorHAnsi" w:hAnsiTheme="minorHAnsi" w:cstheme="minorHAnsi"/>
        </w:rPr>
        <w:t xml:space="preserve">. Odhadované náklady </w:t>
      </w:r>
      <w:r w:rsidR="007D4124">
        <w:rPr>
          <w:rFonts w:asciiTheme="minorHAnsi" w:hAnsiTheme="minorHAnsi" w:cstheme="minorHAnsi"/>
        </w:rPr>
        <w:t>z evropských fondů</w:t>
      </w:r>
      <w:r w:rsidRPr="00923D98">
        <w:rPr>
          <w:rFonts w:asciiTheme="minorHAnsi" w:hAnsiTheme="minorHAnsi" w:cstheme="minorHAnsi"/>
        </w:rPr>
        <w:t xml:space="preserve"> na realizaci </w:t>
      </w:r>
      <w:r w:rsidR="007D4124">
        <w:rPr>
          <w:rFonts w:asciiTheme="minorHAnsi" w:hAnsiTheme="minorHAnsi" w:cstheme="minorHAnsi"/>
        </w:rPr>
        <w:t>modernizace</w:t>
      </w:r>
      <w:r w:rsidRPr="007D4124" w:rsidR="007D4124">
        <w:rPr>
          <w:rFonts w:asciiTheme="minorHAnsi" w:hAnsiTheme="minorHAnsi" w:cstheme="minorHAnsi"/>
        </w:rPr>
        <w:t xml:space="preserve"> sídla Státního ústavu pro kontrolu léčiv</w:t>
      </w:r>
      <w:r w:rsidR="009E510A">
        <w:rPr>
          <w:rFonts w:asciiTheme="minorHAnsi" w:hAnsiTheme="minorHAnsi" w:cstheme="minorHAnsi"/>
        </w:rPr>
        <w:t xml:space="preserve"> </w:t>
      </w:r>
      <w:r w:rsidRPr="00923D98">
        <w:rPr>
          <w:rFonts w:asciiTheme="minorHAnsi" w:hAnsiTheme="minorHAnsi" w:cstheme="minorHAnsi"/>
        </w:rPr>
        <w:t>jsou pro období let 2026 až 2035 přibližně 1,5 mld. Kč.</w:t>
      </w:r>
    </w:p>
    <w:p w:rsidR="00C80366" w:rsidRPr="00923D98" w14:paraId="63B13F3B" w14:textId="77777777">
      <w:pPr>
        <w:rPr>
          <w:rFonts w:asciiTheme="minorHAnsi" w:hAnsiTheme="minorHAnsi" w:cstheme="minorHAnsi"/>
        </w:rPr>
      </w:pPr>
    </w:p>
    <w:p w:rsidR="00960C9E" w:rsidRPr="00923D98" w14:paraId="685DCCC3" w14:textId="77777777">
      <w:pPr>
        <w:rPr>
          <w:rFonts w:asciiTheme="minorHAnsi" w:hAnsiTheme="minorHAnsi" w:cstheme="minorHAnsi"/>
        </w:rPr>
        <w:sectPr w:rsidSect="00BE52EB">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p>
    <w:p w:rsidR="00134DC4" w:rsidRPr="00923D98" w14:paraId="38390523" w14:textId="3A17EFC7">
      <w:pPr>
        <w:rPr>
          <w:rFonts w:asciiTheme="minorHAnsi" w:hAnsiTheme="minorHAnsi" w:cstheme="minorHAnsi"/>
        </w:rPr>
      </w:pPr>
    </w:p>
    <w:p w:rsidR="009952F1" w:rsidRPr="00923D98" w:rsidP="00B37AF7" w14:paraId="7E86D2B2" w14:textId="77777777">
      <w:pPr>
        <w:pStyle w:val="Heading1"/>
        <w:numPr>
          <w:ilvl w:val="0"/>
          <w:numId w:val="13"/>
        </w:numPr>
        <w:rPr>
          <w:rFonts w:cstheme="minorHAnsi"/>
        </w:rPr>
      </w:pPr>
      <w:bookmarkStart w:id="227" w:name="_Toc256000002"/>
      <w:r w:rsidRPr="00923D98">
        <w:rPr>
          <w:rFonts w:cstheme="minorHAnsi"/>
        </w:rPr>
        <w:t>H</w:t>
      </w:r>
      <w:r w:rsidRPr="00923D98">
        <w:rPr>
          <w:rFonts w:cstheme="minorHAnsi"/>
        </w:rPr>
        <w:t>ierarchická struktura prací a harmonogram realizace</w:t>
      </w:r>
      <w:bookmarkEnd w:id="227"/>
    </w:p>
    <w:p w:rsidR="00B37AF7" w:rsidRPr="00923D98" w:rsidP="0024762C" w14:paraId="154E05B5" w14:textId="77777777">
      <w:pPr>
        <w:rPr>
          <w:rFonts w:asciiTheme="minorHAnsi" w:hAnsiTheme="minorHAnsi" w:cstheme="minorHAnsi"/>
        </w:rPr>
      </w:pPr>
    </w:p>
    <w:p w:rsidR="00134DC4" w:rsidRPr="00923D98" w:rsidP="00960C9E" w14:paraId="414725F5" w14:textId="1EABA64F">
      <w:pPr>
        <w:jc w:val="both"/>
        <w:rPr>
          <w:rFonts w:asciiTheme="minorHAnsi" w:hAnsiTheme="minorHAnsi" w:cstheme="minorHAnsi"/>
        </w:rPr>
      </w:pPr>
      <w:r w:rsidRPr="00923D98">
        <w:rPr>
          <w:rFonts w:asciiTheme="minorHAnsi" w:hAnsiTheme="minorHAnsi" w:cstheme="minorHAnsi"/>
        </w:rPr>
        <w:t xml:space="preserve">Implementační plán ve svých dílčích cílech upřesňuje konkrétní aktivity, které povedou k realizaci specifického cíle, tedy k zajištění dostupnosti léčiv </w:t>
      </w:r>
      <w:r w:rsidRPr="00923D98" w:rsidR="00960C9E">
        <w:rPr>
          <w:rFonts w:asciiTheme="minorHAnsi" w:hAnsiTheme="minorHAnsi" w:cstheme="minorHAnsi"/>
        </w:rPr>
        <w:t>a zapojení všech stakeholderů</w:t>
      </w:r>
      <w:r w:rsidRPr="00923D98">
        <w:rPr>
          <w:rFonts w:asciiTheme="minorHAnsi" w:hAnsiTheme="minorHAnsi" w:cstheme="minorHAnsi"/>
        </w:rPr>
        <w:t xml:space="preserve"> tak, aby každý z nich nesl svůj díl zodpovědnosti při zajišťování dostupnosti léčiv.</w:t>
      </w:r>
    </w:p>
    <w:p w:rsidR="007C55CE" w:rsidRPr="00923D98" w:rsidP="007C55CE" w14:paraId="45BA493B" w14:textId="1A3436B7">
      <w:pPr>
        <w:pStyle w:val="Caption"/>
        <w:keepNext/>
        <w:spacing w:before="240"/>
        <w:jc w:val="both"/>
        <w:rPr>
          <w:rFonts w:asciiTheme="minorHAnsi" w:hAnsiTheme="minorHAnsi" w:cstheme="minorHAnsi"/>
        </w:rPr>
      </w:pPr>
      <w:bookmarkStart w:id="228" w:name="_Toc256000012"/>
      <w:r w:rsidRPr="00923D98">
        <w:rPr>
          <w:rFonts w:asciiTheme="minorHAnsi" w:hAnsiTheme="minorHAnsi" w:cstheme="minorHAnsi"/>
        </w:rPr>
        <w:t xml:space="preserve">Tabulka </w:t>
      </w:r>
      <w:r w:rsidRPr="00923D98">
        <w:rPr>
          <w:rFonts w:asciiTheme="minorHAnsi" w:hAnsiTheme="minorHAnsi" w:cstheme="minorHAnsi"/>
        </w:rPr>
        <w:fldChar w:fldCharType="begin"/>
      </w:r>
      <w:r w:rsidRPr="00923D98">
        <w:rPr>
          <w:rFonts w:asciiTheme="minorHAnsi" w:hAnsiTheme="minorHAnsi" w:cstheme="minorHAnsi"/>
        </w:rPr>
        <w:instrText xml:space="preserve"> SEQ Tabulka \* ARABIC </w:instrText>
      </w:r>
      <w:r w:rsidRPr="00923D98">
        <w:rPr>
          <w:rFonts w:asciiTheme="minorHAnsi" w:hAnsiTheme="minorHAnsi" w:cstheme="minorHAnsi"/>
        </w:rPr>
        <w:fldChar w:fldCharType="separate"/>
      </w:r>
      <w:r w:rsidRPr="00923D98">
        <w:rPr>
          <w:rFonts w:asciiTheme="minorHAnsi" w:hAnsiTheme="minorHAnsi" w:cstheme="minorHAnsi"/>
        </w:rPr>
        <w:t>1</w:t>
      </w:r>
      <w:r w:rsidRPr="00923D98">
        <w:rPr>
          <w:rFonts w:asciiTheme="minorHAnsi" w:hAnsiTheme="minorHAnsi" w:cstheme="minorHAnsi"/>
        </w:rPr>
        <w:fldChar w:fldCharType="end"/>
      </w:r>
      <w:r w:rsidRPr="00923D98">
        <w:rPr>
          <w:rFonts w:asciiTheme="minorHAnsi" w:hAnsiTheme="minorHAnsi" w:cstheme="minorHAnsi"/>
        </w:rPr>
        <w:t xml:space="preserve"> Hierarchická struktura a harmonogram realizace</w:t>
      </w:r>
      <w:bookmarkEnd w:id="228"/>
    </w:p>
    <w:tbl>
      <w:tblPr>
        <w:tblStyle w:val="PlainTable1"/>
        <w:tblW w:w="5000" w:type="pct"/>
        <w:tblLook w:val="0600"/>
      </w:tblPr>
      <w:tblGrid>
        <w:gridCol w:w="2546"/>
        <w:gridCol w:w="4254"/>
        <w:gridCol w:w="3079"/>
        <w:gridCol w:w="1254"/>
        <w:gridCol w:w="1201"/>
        <w:gridCol w:w="1660"/>
      </w:tblGrid>
      <w:tr w14:paraId="01E736DE" w14:textId="632B34BD" w:rsidTr="00FF7BEB">
        <w:tblPrEx>
          <w:tblW w:w="5000" w:type="pct"/>
          <w:tblLook w:val="0600"/>
        </w:tblPrEx>
        <w:trPr>
          <w:trHeight w:val="827"/>
        </w:trPr>
        <w:tc>
          <w:tcPr>
            <w:tcW w:w="910" w:type="pct"/>
          </w:tcPr>
          <w:p w:rsidR="00FF7BEB" w:rsidRPr="00923D98" w:rsidP="00C03445" w14:paraId="6B1F3CE4" w14:textId="77777777">
            <w:pPr>
              <w:rPr>
                <w:rFonts w:asciiTheme="minorHAnsi" w:hAnsiTheme="minorHAnsi" w:cstheme="minorHAnsi"/>
                <w:b/>
                <w:sz w:val="22"/>
                <w:szCs w:val="22"/>
              </w:rPr>
            </w:pPr>
            <w:r w:rsidRPr="00923D98">
              <w:rPr>
                <w:rFonts w:asciiTheme="minorHAnsi" w:hAnsiTheme="minorHAnsi" w:cstheme="minorHAnsi"/>
                <w:b/>
                <w:sz w:val="22"/>
                <w:szCs w:val="22"/>
              </w:rPr>
              <w:t xml:space="preserve">Dílčí cíl </w:t>
            </w:r>
          </w:p>
          <w:p w:rsidR="00FF7BEB" w:rsidRPr="00923D98" w:rsidP="00C03445" w14:paraId="286FF3CF" w14:textId="77777777">
            <w:pPr>
              <w:rPr>
                <w:rFonts w:asciiTheme="minorHAnsi" w:hAnsiTheme="minorHAnsi" w:cstheme="minorHAnsi"/>
                <w:b/>
                <w:sz w:val="22"/>
                <w:szCs w:val="22"/>
              </w:rPr>
            </w:pPr>
          </w:p>
        </w:tc>
        <w:tc>
          <w:tcPr>
            <w:tcW w:w="1520" w:type="pct"/>
          </w:tcPr>
          <w:p w:rsidR="00FF7BEB" w:rsidRPr="00923D98" w:rsidP="00C03445" w14:paraId="6D18EDAC" w14:textId="6AC285D6">
            <w:pPr>
              <w:rPr>
                <w:rFonts w:asciiTheme="minorHAnsi" w:hAnsiTheme="minorHAnsi" w:cstheme="minorHAnsi"/>
                <w:b/>
                <w:sz w:val="22"/>
                <w:szCs w:val="22"/>
              </w:rPr>
            </w:pPr>
            <w:r w:rsidRPr="00923D98">
              <w:rPr>
                <w:rFonts w:asciiTheme="minorHAnsi" w:hAnsiTheme="minorHAnsi" w:cstheme="minorHAnsi"/>
                <w:b/>
                <w:sz w:val="22"/>
                <w:szCs w:val="22"/>
              </w:rPr>
              <w:t>Důvod zařazení</w:t>
            </w:r>
          </w:p>
          <w:p w:rsidR="00FF7BEB" w:rsidRPr="00923D98" w:rsidP="00C03445" w14:paraId="465D953B" w14:textId="26357D69">
            <w:pPr>
              <w:rPr>
                <w:rFonts w:asciiTheme="minorHAnsi" w:hAnsiTheme="minorHAnsi" w:cstheme="minorHAnsi"/>
                <w:b/>
                <w:sz w:val="22"/>
                <w:szCs w:val="22"/>
              </w:rPr>
            </w:pPr>
          </w:p>
        </w:tc>
        <w:tc>
          <w:tcPr>
            <w:tcW w:w="1100" w:type="pct"/>
          </w:tcPr>
          <w:p w:rsidR="00FF7BEB" w:rsidRPr="00923D98" w:rsidP="00C03445" w14:paraId="69E92523" w14:textId="478B4EDF">
            <w:pPr>
              <w:rPr>
                <w:rFonts w:asciiTheme="minorHAnsi" w:hAnsiTheme="minorHAnsi" w:cstheme="minorHAnsi"/>
                <w:b/>
                <w:sz w:val="22"/>
                <w:szCs w:val="22"/>
              </w:rPr>
            </w:pPr>
            <w:r w:rsidRPr="00923D98">
              <w:rPr>
                <w:rFonts w:asciiTheme="minorHAnsi" w:hAnsiTheme="minorHAnsi" w:cstheme="minorHAnsi"/>
                <w:b/>
                <w:sz w:val="22"/>
                <w:szCs w:val="22"/>
              </w:rPr>
              <w:t xml:space="preserve">Opatření </w:t>
            </w:r>
          </w:p>
          <w:p w:rsidR="00FF7BEB" w:rsidRPr="00923D98" w:rsidP="00C03445" w14:paraId="3042A0DC" w14:textId="77777777">
            <w:pPr>
              <w:rPr>
                <w:rFonts w:asciiTheme="minorHAnsi" w:hAnsiTheme="minorHAnsi" w:cstheme="minorHAnsi"/>
                <w:b/>
                <w:sz w:val="22"/>
                <w:szCs w:val="22"/>
              </w:rPr>
            </w:pPr>
          </w:p>
        </w:tc>
        <w:tc>
          <w:tcPr>
            <w:tcW w:w="448" w:type="pct"/>
          </w:tcPr>
          <w:p w:rsidR="00FF7BEB" w:rsidRPr="00923D98" w:rsidP="00C03445" w14:paraId="68B8DD5E" w14:textId="77777777">
            <w:pPr>
              <w:rPr>
                <w:rFonts w:asciiTheme="minorHAnsi" w:hAnsiTheme="minorHAnsi" w:cstheme="minorHAnsi"/>
                <w:b/>
                <w:sz w:val="22"/>
                <w:szCs w:val="22"/>
              </w:rPr>
            </w:pPr>
            <w:r w:rsidRPr="00923D98">
              <w:rPr>
                <w:rFonts w:asciiTheme="minorHAnsi" w:hAnsiTheme="minorHAnsi" w:cstheme="minorHAnsi"/>
                <w:b/>
                <w:sz w:val="22"/>
                <w:szCs w:val="22"/>
              </w:rPr>
              <w:t>Doba realizace / od–do</w:t>
            </w:r>
          </w:p>
        </w:tc>
        <w:tc>
          <w:tcPr>
            <w:tcW w:w="429" w:type="pct"/>
          </w:tcPr>
          <w:p w:rsidR="00FF7BEB" w:rsidRPr="00923D98" w:rsidP="00C03445" w14:paraId="17114727" w14:textId="77777777">
            <w:pPr>
              <w:rPr>
                <w:rFonts w:asciiTheme="minorHAnsi" w:hAnsiTheme="minorHAnsi" w:cstheme="minorHAnsi"/>
                <w:b/>
                <w:sz w:val="22"/>
                <w:szCs w:val="22"/>
              </w:rPr>
            </w:pPr>
            <w:r w:rsidRPr="00923D98">
              <w:rPr>
                <w:rFonts w:asciiTheme="minorHAnsi" w:hAnsiTheme="minorHAnsi" w:cstheme="minorHAnsi"/>
                <w:b/>
                <w:sz w:val="22"/>
                <w:szCs w:val="22"/>
              </w:rPr>
              <w:t>Gestor</w:t>
            </w:r>
          </w:p>
        </w:tc>
        <w:tc>
          <w:tcPr>
            <w:tcW w:w="593" w:type="pct"/>
          </w:tcPr>
          <w:p w:rsidR="00FF7BEB" w:rsidRPr="00923D98" w:rsidP="00C03445" w14:paraId="0CE35B25" w14:textId="77777777">
            <w:pPr>
              <w:rPr>
                <w:rFonts w:asciiTheme="minorHAnsi" w:hAnsiTheme="minorHAnsi" w:cstheme="minorHAnsi"/>
                <w:b/>
                <w:sz w:val="22"/>
                <w:szCs w:val="22"/>
              </w:rPr>
            </w:pPr>
            <w:r w:rsidRPr="00923D98">
              <w:rPr>
                <w:rFonts w:asciiTheme="minorHAnsi" w:hAnsiTheme="minorHAnsi" w:cstheme="minorHAnsi"/>
                <w:b/>
                <w:sz w:val="22"/>
                <w:szCs w:val="22"/>
              </w:rPr>
              <w:t>Spolupracující subjekty</w:t>
            </w:r>
          </w:p>
        </w:tc>
      </w:tr>
      <w:tr w14:paraId="628C4C38" w14:textId="2611D779" w:rsidTr="00FF7BEB">
        <w:tblPrEx>
          <w:tblW w:w="5000" w:type="pct"/>
          <w:tblLook w:val="0600"/>
        </w:tblPrEx>
        <w:trPr>
          <w:trHeight w:val="1338"/>
        </w:trPr>
        <w:tc>
          <w:tcPr>
            <w:tcW w:w="910" w:type="pct"/>
            <w:vMerge w:val="restart"/>
          </w:tcPr>
          <w:p w:rsidR="00FF7BEB" w:rsidRPr="00923D98" w:rsidP="00A62BB7" w14:paraId="1E30A0FE" w14:textId="62BC118E">
            <w:pPr>
              <w:rPr>
                <w:rFonts w:asciiTheme="minorHAnsi" w:hAnsiTheme="minorHAnsi" w:cstheme="minorHAnsi"/>
                <w:b/>
                <w:sz w:val="22"/>
                <w:szCs w:val="22"/>
              </w:rPr>
            </w:pPr>
            <w:r w:rsidRPr="00923D98">
              <w:rPr>
                <w:rFonts w:asciiTheme="minorHAnsi" w:hAnsiTheme="minorHAnsi" w:cstheme="minorHAnsi"/>
                <w:b/>
                <w:sz w:val="22"/>
                <w:szCs w:val="22"/>
              </w:rPr>
              <w:t>Dílčí cíl 1.3.1 Implementovat unijní právní předpisy a stabilizovat řízení zásob léčiv</w:t>
            </w:r>
          </w:p>
        </w:tc>
        <w:tc>
          <w:tcPr>
            <w:tcW w:w="1520" w:type="pct"/>
          </w:tcPr>
          <w:p w:rsidR="00FF7BEB" w:rsidRPr="00923D98" w:rsidP="00A62BB7" w14:paraId="2CAB0E3D" w14:textId="0AA654C8">
            <w:pPr>
              <w:rPr>
                <w:rFonts w:asciiTheme="minorHAnsi" w:hAnsiTheme="minorHAnsi" w:cstheme="minorHAnsi"/>
                <w:sz w:val="22"/>
                <w:szCs w:val="22"/>
              </w:rPr>
            </w:pPr>
            <w:r w:rsidRPr="00923D98">
              <w:rPr>
                <w:rFonts w:asciiTheme="minorHAnsi" w:hAnsiTheme="minorHAnsi" w:cstheme="minorHAnsi"/>
                <w:sz w:val="22"/>
                <w:szCs w:val="22"/>
              </w:rPr>
              <w:t>Reforma právních předpisů EU týkajících se léčivých přípravků – směrnice a nařízení na základě mj. celoevropské studie o</w:t>
            </w:r>
            <w:r w:rsidRPr="00923D98" w:rsidR="00D07E29">
              <w:rPr>
                <w:rFonts w:asciiTheme="minorHAnsi" w:hAnsiTheme="minorHAnsi" w:cstheme="minorHAnsi"/>
                <w:sz w:val="22"/>
                <w:szCs w:val="22"/>
              </w:rPr>
              <w:t> </w:t>
            </w:r>
            <w:r w:rsidRPr="00923D98">
              <w:rPr>
                <w:rFonts w:asciiTheme="minorHAnsi" w:hAnsiTheme="minorHAnsi" w:cstheme="minorHAnsi"/>
                <w:sz w:val="22"/>
                <w:szCs w:val="22"/>
              </w:rPr>
              <w:t>nedostatku léčivých přípravků a studie o optimalizace zadávání veřejných zakázek na léčivé přípravky.</w:t>
            </w:r>
          </w:p>
        </w:tc>
        <w:tc>
          <w:tcPr>
            <w:tcW w:w="1100" w:type="pct"/>
          </w:tcPr>
          <w:p w:rsidR="00FF7BEB" w:rsidRPr="00923D98" w:rsidP="00A62BB7" w14:paraId="4A9CE88C" w14:textId="7436D6C1">
            <w:pPr>
              <w:rPr>
                <w:rFonts w:asciiTheme="minorHAnsi" w:hAnsiTheme="minorHAnsi" w:cstheme="minorHAnsi"/>
                <w:sz w:val="22"/>
                <w:szCs w:val="22"/>
              </w:rPr>
            </w:pPr>
            <w:r w:rsidRPr="00923D98">
              <w:rPr>
                <w:rFonts w:asciiTheme="minorHAnsi" w:hAnsiTheme="minorHAnsi" w:cstheme="minorHAnsi"/>
                <w:sz w:val="22"/>
                <w:szCs w:val="22"/>
              </w:rPr>
              <w:t>Implementace farmaceutického balíčku do právního řádu ČR prostřednictvím nového zákona o léčivech</w:t>
            </w:r>
            <w:r w:rsidRPr="00923D98">
              <w:rPr>
                <w:rFonts w:asciiTheme="minorHAnsi" w:hAnsiTheme="minorHAnsi" w:cstheme="minorHAnsi"/>
                <w:color w:val="FF0000"/>
                <w:sz w:val="22"/>
                <w:szCs w:val="22"/>
              </w:rPr>
              <w:t>.</w:t>
            </w:r>
          </w:p>
        </w:tc>
        <w:tc>
          <w:tcPr>
            <w:tcW w:w="448" w:type="pct"/>
          </w:tcPr>
          <w:p w:rsidR="00FF7BEB" w:rsidRPr="00923D98" w:rsidP="00A62BB7" w14:paraId="25F0B7C4" w14:textId="0A3EC4DC">
            <w:pPr>
              <w:rPr>
                <w:rFonts w:asciiTheme="minorHAnsi" w:hAnsiTheme="minorHAnsi" w:cstheme="minorHAnsi"/>
                <w:sz w:val="22"/>
                <w:szCs w:val="22"/>
              </w:rPr>
            </w:pPr>
            <w:r w:rsidRPr="00923D98">
              <w:rPr>
                <w:rFonts w:asciiTheme="minorHAnsi" w:hAnsiTheme="minorHAnsi" w:cstheme="minorHAnsi"/>
                <w:sz w:val="22"/>
                <w:szCs w:val="22"/>
              </w:rPr>
              <w:t>202</w:t>
            </w:r>
            <w:r w:rsidRPr="00923D98" w:rsidR="007F0CBE">
              <w:rPr>
                <w:rFonts w:asciiTheme="minorHAnsi" w:hAnsiTheme="minorHAnsi" w:cstheme="minorHAnsi"/>
                <w:sz w:val="22"/>
                <w:szCs w:val="22"/>
              </w:rPr>
              <w:t>6</w:t>
            </w:r>
            <w:r w:rsidRPr="00923D98">
              <w:rPr>
                <w:rFonts w:asciiTheme="minorHAnsi" w:hAnsiTheme="minorHAnsi" w:cstheme="minorHAnsi"/>
                <w:sz w:val="22"/>
                <w:szCs w:val="22"/>
              </w:rPr>
              <w:t>–2030</w:t>
            </w:r>
          </w:p>
        </w:tc>
        <w:tc>
          <w:tcPr>
            <w:tcW w:w="429" w:type="pct"/>
          </w:tcPr>
          <w:p w:rsidR="00FF7BEB" w:rsidRPr="00923D98" w:rsidP="00A62BB7" w14:paraId="1EC68FD0" w14:textId="660860DC">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FF7BEB" w:rsidRPr="00923D98" w:rsidP="00A62BB7" w14:paraId="74899213" w14:textId="29D10FD6">
            <w:pPr>
              <w:rPr>
                <w:rFonts w:asciiTheme="minorHAnsi" w:hAnsiTheme="minorHAnsi" w:cstheme="minorHAnsi"/>
                <w:sz w:val="22"/>
                <w:szCs w:val="22"/>
              </w:rPr>
            </w:pPr>
            <w:r w:rsidRPr="00923D98">
              <w:rPr>
                <w:rFonts w:asciiTheme="minorHAnsi" w:hAnsiTheme="minorHAnsi" w:cstheme="minorHAnsi"/>
                <w:sz w:val="22"/>
                <w:szCs w:val="22"/>
              </w:rPr>
              <w:t>MZD (SL), SÚKL, MZE</w:t>
            </w:r>
          </w:p>
        </w:tc>
      </w:tr>
      <w:tr w14:paraId="53417E37" w14:textId="046064D5" w:rsidTr="00FF7BEB">
        <w:tblPrEx>
          <w:tblW w:w="5000" w:type="pct"/>
          <w:tblLook w:val="0600"/>
        </w:tblPrEx>
        <w:trPr>
          <w:trHeight w:val="1338"/>
        </w:trPr>
        <w:tc>
          <w:tcPr>
            <w:tcW w:w="910" w:type="pct"/>
            <w:vMerge/>
          </w:tcPr>
          <w:p w:rsidR="00FF7BEB" w:rsidRPr="00923D98" w:rsidP="00A62BB7" w14:paraId="3B54EAAB" w14:textId="77777777">
            <w:pPr>
              <w:rPr>
                <w:rFonts w:asciiTheme="minorHAnsi" w:hAnsiTheme="minorHAnsi" w:cstheme="minorHAnsi"/>
                <w:b/>
                <w:sz w:val="22"/>
                <w:szCs w:val="22"/>
              </w:rPr>
            </w:pPr>
          </w:p>
        </w:tc>
        <w:tc>
          <w:tcPr>
            <w:tcW w:w="1520" w:type="pct"/>
          </w:tcPr>
          <w:p w:rsidR="00FF7BEB" w:rsidRPr="00923D98" w:rsidP="00A62BB7" w14:paraId="032E5801" w14:textId="1FD16986">
            <w:pPr>
              <w:rPr>
                <w:rFonts w:asciiTheme="minorHAnsi" w:hAnsiTheme="minorHAnsi" w:cstheme="minorHAnsi"/>
                <w:sz w:val="22"/>
                <w:szCs w:val="22"/>
              </w:rPr>
            </w:pPr>
            <w:r w:rsidRPr="00923D98">
              <w:rPr>
                <w:rFonts w:asciiTheme="minorHAnsi" w:hAnsiTheme="minorHAnsi" w:cstheme="minorHAnsi"/>
                <w:sz w:val="22"/>
                <w:szCs w:val="22"/>
              </w:rPr>
              <w:t xml:space="preserve">Kromě výše uvedeného </w:t>
            </w:r>
            <w:r w:rsidRPr="00923D98" w:rsidR="00D9247C">
              <w:rPr>
                <w:rFonts w:asciiTheme="minorHAnsi" w:hAnsiTheme="minorHAnsi" w:cstheme="minorHAnsi"/>
                <w:sz w:val="22"/>
                <w:szCs w:val="22"/>
              </w:rPr>
              <w:t xml:space="preserve">bude implementován </w:t>
            </w:r>
            <w:r w:rsidRPr="00923D98" w:rsidR="00701902">
              <w:rPr>
                <w:rFonts w:asciiTheme="minorHAnsi" w:hAnsiTheme="minorHAnsi" w:cstheme="minorHAnsi"/>
                <w:sz w:val="22"/>
                <w:szCs w:val="22"/>
              </w:rPr>
              <w:t xml:space="preserve">také </w:t>
            </w:r>
            <w:r w:rsidRPr="00923D98" w:rsidR="00D9247C">
              <w:rPr>
                <w:rFonts w:asciiTheme="minorHAnsi" w:hAnsiTheme="minorHAnsi" w:cstheme="minorHAnsi"/>
                <w:sz w:val="22"/>
                <w:szCs w:val="22"/>
              </w:rPr>
              <w:t xml:space="preserve">regulační rámec pro kriticky důležité léčivé přípravky </w:t>
            </w:r>
            <w:r w:rsidRPr="00923D98" w:rsidR="00701902">
              <w:rPr>
                <w:rFonts w:asciiTheme="minorHAnsi" w:hAnsiTheme="minorHAnsi" w:cstheme="minorHAnsi"/>
                <w:sz w:val="22"/>
                <w:szCs w:val="22"/>
              </w:rPr>
              <w:t>(</w:t>
            </w:r>
            <w:r w:rsidRPr="00923D98" w:rsidR="00D9247C">
              <w:rPr>
                <w:rFonts w:asciiTheme="minorHAnsi" w:hAnsiTheme="minorHAnsi" w:cstheme="minorHAnsi"/>
                <w:sz w:val="22"/>
                <w:szCs w:val="22"/>
              </w:rPr>
              <w:t>nařízení EU</w:t>
            </w:r>
            <w:r w:rsidRPr="00923D98" w:rsidR="00701902">
              <w:rPr>
                <w:rFonts w:asciiTheme="minorHAnsi" w:hAnsiTheme="minorHAnsi" w:cstheme="minorHAnsi"/>
                <w:sz w:val="22"/>
                <w:szCs w:val="22"/>
              </w:rPr>
              <w:t>)</w:t>
            </w:r>
            <w:r w:rsidRPr="00923D98" w:rsidR="00741FEB">
              <w:rPr>
                <w:rFonts w:asciiTheme="minorHAnsi" w:hAnsiTheme="minorHAnsi" w:cstheme="minorHAnsi"/>
                <w:sz w:val="22"/>
                <w:szCs w:val="22"/>
              </w:rPr>
              <w:t xml:space="preserve"> </w:t>
            </w:r>
            <w:r w:rsidRPr="00923D98" w:rsidR="00701902">
              <w:rPr>
                <w:rFonts w:asciiTheme="minorHAnsi" w:hAnsiTheme="minorHAnsi" w:cstheme="minorHAnsi"/>
                <w:sz w:val="22"/>
                <w:szCs w:val="22"/>
              </w:rPr>
              <w:t>v oblasti</w:t>
            </w:r>
            <w:r w:rsidRPr="00923D98" w:rsidR="00741FEB">
              <w:rPr>
                <w:rFonts w:asciiTheme="minorHAnsi" w:hAnsiTheme="minorHAnsi" w:cstheme="minorHAnsi"/>
                <w:sz w:val="22"/>
                <w:szCs w:val="22"/>
              </w:rPr>
              <w:t xml:space="preserve"> regulatorní flexibility léčivých přípravků, veřejných zakázek na strategické projekty apod.</w:t>
            </w:r>
          </w:p>
        </w:tc>
        <w:tc>
          <w:tcPr>
            <w:tcW w:w="1100" w:type="pct"/>
          </w:tcPr>
          <w:p w:rsidR="00FF7BEB" w:rsidRPr="00923D98" w:rsidP="00A62BB7" w14:paraId="43BB724B" w14:textId="0BF6AA85">
            <w:pPr>
              <w:rPr>
                <w:rFonts w:asciiTheme="minorHAnsi" w:hAnsiTheme="minorHAnsi" w:cstheme="minorHAnsi"/>
                <w:color w:val="FF0000"/>
                <w:sz w:val="22"/>
                <w:szCs w:val="22"/>
              </w:rPr>
            </w:pPr>
            <w:r w:rsidRPr="00923D98">
              <w:rPr>
                <w:rFonts w:asciiTheme="minorHAnsi" w:hAnsiTheme="minorHAnsi" w:cstheme="minorHAnsi"/>
                <w:sz w:val="22"/>
                <w:szCs w:val="22"/>
              </w:rPr>
              <w:t>Implementace článků nařízení o</w:t>
            </w:r>
            <w:r w:rsidRPr="00923D98" w:rsidR="00FE011C">
              <w:rPr>
                <w:rFonts w:asciiTheme="minorHAnsi" w:hAnsiTheme="minorHAnsi" w:cstheme="minorHAnsi"/>
                <w:sz w:val="22"/>
                <w:szCs w:val="22"/>
              </w:rPr>
              <w:t> </w:t>
            </w:r>
            <w:r w:rsidRPr="00923D98">
              <w:rPr>
                <w:rFonts w:asciiTheme="minorHAnsi" w:hAnsiTheme="minorHAnsi" w:cstheme="minorHAnsi"/>
                <w:sz w:val="22"/>
                <w:szCs w:val="22"/>
              </w:rPr>
              <w:t xml:space="preserve">kriticky důležitých léčivech </w:t>
            </w:r>
          </w:p>
        </w:tc>
        <w:tc>
          <w:tcPr>
            <w:tcW w:w="448" w:type="pct"/>
          </w:tcPr>
          <w:p w:rsidR="00FF7BEB" w:rsidRPr="00923D98" w:rsidP="00A62BB7" w14:paraId="2BFC6D40" w14:textId="2019D3E6">
            <w:pPr>
              <w:rPr>
                <w:rFonts w:asciiTheme="minorHAnsi" w:hAnsiTheme="minorHAnsi" w:cstheme="minorHAnsi"/>
                <w:sz w:val="22"/>
                <w:szCs w:val="22"/>
              </w:rPr>
            </w:pPr>
            <w:r w:rsidRPr="00923D98">
              <w:rPr>
                <w:rFonts w:asciiTheme="minorHAnsi" w:hAnsiTheme="minorHAnsi" w:cstheme="minorHAnsi"/>
                <w:sz w:val="22"/>
                <w:szCs w:val="22"/>
              </w:rPr>
              <w:t>2026–2028</w:t>
            </w:r>
          </w:p>
        </w:tc>
        <w:tc>
          <w:tcPr>
            <w:tcW w:w="429" w:type="pct"/>
          </w:tcPr>
          <w:p w:rsidR="00FF7BEB" w:rsidRPr="00923D98" w:rsidP="00A62BB7" w14:paraId="0DF7F5F0" w14:textId="213257E8">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FF7BEB" w:rsidRPr="00923D98" w:rsidP="00A62BB7" w14:paraId="07332F59" w14:textId="72DBCBBF">
            <w:pPr>
              <w:spacing w:after="120"/>
              <w:rPr>
                <w:rFonts w:asciiTheme="minorHAnsi" w:hAnsiTheme="minorHAnsi" w:cstheme="minorHAnsi"/>
                <w:sz w:val="22"/>
                <w:szCs w:val="22"/>
              </w:rPr>
            </w:pPr>
            <w:r w:rsidRPr="00923D98">
              <w:rPr>
                <w:rFonts w:asciiTheme="minorHAnsi" w:hAnsiTheme="minorHAnsi" w:cstheme="minorHAnsi"/>
                <w:sz w:val="22"/>
                <w:szCs w:val="22"/>
              </w:rPr>
              <w:t>MZD (SL), SÚKL, MPO, MMR</w:t>
            </w:r>
            <w:r w:rsidRPr="00923D98" w:rsidR="001A4DBE">
              <w:rPr>
                <w:rFonts w:asciiTheme="minorHAnsi" w:hAnsiTheme="minorHAnsi" w:cstheme="minorHAnsi"/>
                <w:sz w:val="22"/>
                <w:szCs w:val="22"/>
              </w:rPr>
              <w:t>, ÚOHS</w:t>
            </w:r>
          </w:p>
        </w:tc>
      </w:tr>
      <w:tr w14:paraId="119712CC" w14:textId="77777777" w:rsidTr="00FF7BEB">
        <w:tblPrEx>
          <w:tblW w:w="5000" w:type="pct"/>
          <w:tblLook w:val="0600"/>
        </w:tblPrEx>
        <w:trPr>
          <w:trHeight w:val="806"/>
        </w:trPr>
        <w:tc>
          <w:tcPr>
            <w:tcW w:w="910" w:type="pct"/>
          </w:tcPr>
          <w:p w:rsidR="00125280" w:rsidRPr="00923D98" w:rsidP="00125280" w14:paraId="631EED0F" w14:textId="77777777">
            <w:pPr>
              <w:rPr>
                <w:rFonts w:asciiTheme="minorHAnsi" w:hAnsiTheme="minorHAnsi" w:cstheme="minorHAnsi"/>
                <w:b/>
                <w:color w:val="FF0000"/>
                <w:sz w:val="22"/>
                <w:szCs w:val="22"/>
              </w:rPr>
            </w:pPr>
          </w:p>
        </w:tc>
        <w:tc>
          <w:tcPr>
            <w:tcW w:w="1520" w:type="pct"/>
          </w:tcPr>
          <w:p w:rsidR="00125280" w:rsidRPr="00923D98" w:rsidP="00125280" w14:paraId="34793211" w14:textId="7A115BFA">
            <w:pPr>
              <w:rPr>
                <w:rFonts w:asciiTheme="minorHAnsi" w:hAnsiTheme="minorHAnsi" w:cstheme="minorHAnsi"/>
                <w:sz w:val="22"/>
                <w:szCs w:val="22"/>
              </w:rPr>
            </w:pPr>
            <w:r w:rsidRPr="00923D98">
              <w:rPr>
                <w:rFonts w:asciiTheme="minorHAnsi" w:hAnsiTheme="minorHAnsi" w:cstheme="minorHAnsi"/>
                <w:sz w:val="22"/>
                <w:szCs w:val="22"/>
              </w:rPr>
              <w:t xml:space="preserve">K stabilizaci řízení zásob léčiv je nutné provést identifikaci </w:t>
            </w:r>
            <w:r w:rsidRPr="00923D98">
              <w:rPr>
                <w:rFonts w:asciiTheme="minorHAnsi" w:hAnsiTheme="minorHAnsi" w:cstheme="minorHAnsi"/>
                <w:sz w:val="22"/>
                <w:szCs w:val="22"/>
              </w:rPr>
              <w:t xml:space="preserve">slabých míst v dodavatelských řetězcích a </w:t>
            </w:r>
            <w:r w:rsidRPr="00923D98" w:rsidR="001403AB">
              <w:rPr>
                <w:rFonts w:asciiTheme="minorHAnsi" w:hAnsiTheme="minorHAnsi" w:cstheme="minorHAnsi"/>
                <w:sz w:val="22"/>
                <w:szCs w:val="22"/>
              </w:rPr>
              <w:t>navrhnout</w:t>
            </w:r>
            <w:r w:rsidRPr="00923D98">
              <w:rPr>
                <w:rFonts w:asciiTheme="minorHAnsi" w:hAnsiTheme="minorHAnsi" w:cstheme="minorHAnsi"/>
                <w:sz w:val="22"/>
                <w:szCs w:val="22"/>
              </w:rPr>
              <w:t xml:space="preserve"> opatření pro zajištění jejich dostupnosti. Pomocí definovaných ukazatelů bude vytvořen seznam nejzranitelnějších léčiv, následně proběhne hlubší analýza pomocí kombinace kvalitativních a kvantitativních ukazatelů (vč. aspektů, jako globální </w:t>
            </w:r>
            <w:r w:rsidRPr="00923D98">
              <w:rPr>
                <w:rFonts w:asciiTheme="minorHAnsi" w:hAnsiTheme="minorHAnsi" w:cstheme="minorHAnsi"/>
                <w:sz w:val="22"/>
                <w:szCs w:val="22"/>
              </w:rPr>
              <w:t>dodavatelské řetězce, enviromentální, sociální a bezpečností faktory). Zakomponovány budou rovněž prediktivní modely pro předvídání budoucích výpadků v</w:t>
            </w:r>
            <w:r w:rsidRPr="00923D98" w:rsidR="001403AB">
              <w:rPr>
                <w:rFonts w:asciiTheme="minorHAnsi" w:hAnsiTheme="minorHAnsi" w:cstheme="minorHAnsi"/>
                <w:sz w:val="22"/>
                <w:szCs w:val="22"/>
              </w:rPr>
              <w:t> </w:t>
            </w:r>
            <w:r w:rsidRPr="00923D98">
              <w:rPr>
                <w:rFonts w:asciiTheme="minorHAnsi" w:hAnsiTheme="minorHAnsi" w:cstheme="minorHAnsi"/>
                <w:sz w:val="22"/>
                <w:szCs w:val="22"/>
              </w:rPr>
              <w:t>dodávkách léčiv</w:t>
            </w:r>
          </w:p>
        </w:tc>
        <w:tc>
          <w:tcPr>
            <w:tcW w:w="1100" w:type="pct"/>
          </w:tcPr>
          <w:p w:rsidR="00125280" w:rsidRPr="00923D98" w:rsidP="00125280" w14:paraId="288272F2" w14:textId="144B5715">
            <w:pPr>
              <w:rPr>
                <w:rFonts w:asciiTheme="minorHAnsi" w:hAnsiTheme="minorHAnsi" w:cstheme="minorHAnsi"/>
                <w:sz w:val="22"/>
                <w:szCs w:val="22"/>
              </w:rPr>
            </w:pPr>
            <w:r w:rsidRPr="00923D98">
              <w:rPr>
                <w:rFonts w:asciiTheme="minorHAnsi" w:hAnsiTheme="minorHAnsi" w:cstheme="minorHAnsi"/>
                <w:sz w:val="22"/>
                <w:szCs w:val="22"/>
              </w:rPr>
              <w:t>Implementace metodiky pro hodnocení zranitelnosti kritických léčiv</w:t>
            </w:r>
          </w:p>
        </w:tc>
        <w:tc>
          <w:tcPr>
            <w:tcW w:w="448" w:type="pct"/>
          </w:tcPr>
          <w:p w:rsidR="00125280" w:rsidRPr="00923D98" w:rsidP="00125280" w14:paraId="2F806D4E" w14:textId="7478A6D7">
            <w:pPr>
              <w:rPr>
                <w:rFonts w:asciiTheme="minorHAnsi" w:hAnsiTheme="minorHAnsi" w:cstheme="minorHAnsi"/>
                <w:sz w:val="22"/>
                <w:szCs w:val="22"/>
              </w:rPr>
            </w:pPr>
            <w:r w:rsidRPr="00923D98">
              <w:rPr>
                <w:rFonts w:asciiTheme="minorHAnsi" w:hAnsiTheme="minorHAnsi" w:cstheme="minorHAnsi"/>
                <w:sz w:val="22"/>
                <w:szCs w:val="22"/>
              </w:rPr>
              <w:t>2026–2028</w:t>
            </w:r>
          </w:p>
        </w:tc>
        <w:tc>
          <w:tcPr>
            <w:tcW w:w="429" w:type="pct"/>
          </w:tcPr>
          <w:p w:rsidR="00125280" w:rsidRPr="00923D98" w:rsidP="00125280" w14:paraId="6CEE166F" w14:textId="7D3E0B81">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125280" w:rsidRPr="00923D98" w:rsidP="00125280" w14:paraId="04DF9D02" w14:textId="5989DC29">
            <w:pPr>
              <w:rPr>
                <w:rFonts w:asciiTheme="minorHAnsi" w:hAnsiTheme="minorHAnsi" w:cstheme="minorHAnsi"/>
                <w:sz w:val="22"/>
                <w:szCs w:val="22"/>
              </w:rPr>
            </w:pPr>
            <w:r w:rsidRPr="00923D98">
              <w:rPr>
                <w:rFonts w:asciiTheme="minorHAnsi" w:hAnsiTheme="minorHAnsi" w:cstheme="minorHAnsi"/>
                <w:sz w:val="22"/>
                <w:szCs w:val="22"/>
              </w:rPr>
              <w:t xml:space="preserve">SÚKL, </w:t>
            </w:r>
            <w:r w:rsidRPr="00923D98" w:rsidR="005B22F0">
              <w:rPr>
                <w:rFonts w:asciiTheme="minorHAnsi" w:hAnsiTheme="minorHAnsi" w:cstheme="minorHAnsi"/>
                <w:sz w:val="22"/>
                <w:szCs w:val="22"/>
              </w:rPr>
              <w:t>SZP, VZP</w:t>
            </w:r>
            <w:r w:rsidRPr="00923D98">
              <w:rPr>
                <w:rFonts w:asciiTheme="minorHAnsi" w:hAnsiTheme="minorHAnsi" w:cstheme="minorHAnsi"/>
                <w:sz w:val="22"/>
                <w:szCs w:val="22"/>
              </w:rPr>
              <w:t xml:space="preserve">, ČLnK, distributoři, </w:t>
            </w:r>
            <w:r w:rsidRPr="00923D98" w:rsidR="0069440F">
              <w:rPr>
                <w:rFonts w:asciiTheme="minorHAnsi" w:hAnsiTheme="minorHAnsi" w:cstheme="minorHAnsi"/>
                <w:sz w:val="22"/>
                <w:szCs w:val="22"/>
              </w:rPr>
              <w:t>MAH</w:t>
            </w:r>
            <w:r w:rsidRPr="00923D98">
              <w:rPr>
                <w:rFonts w:asciiTheme="minorHAnsi" w:hAnsiTheme="minorHAnsi" w:cstheme="minorHAnsi"/>
                <w:sz w:val="22"/>
                <w:szCs w:val="22"/>
              </w:rPr>
              <w:t xml:space="preserve"> </w:t>
            </w:r>
          </w:p>
        </w:tc>
      </w:tr>
      <w:tr w14:paraId="7C9BCEB9" w14:textId="77777777" w:rsidTr="00FF7BEB">
        <w:tblPrEx>
          <w:tblW w:w="5000" w:type="pct"/>
          <w:tblLook w:val="0600"/>
        </w:tblPrEx>
        <w:trPr>
          <w:trHeight w:val="806"/>
        </w:trPr>
        <w:tc>
          <w:tcPr>
            <w:tcW w:w="910" w:type="pct"/>
          </w:tcPr>
          <w:p w:rsidR="00AA343F" w:rsidRPr="00923D98" w:rsidP="00AA343F" w14:paraId="429CB761" w14:textId="77777777">
            <w:pPr>
              <w:rPr>
                <w:rFonts w:asciiTheme="minorHAnsi" w:hAnsiTheme="minorHAnsi" w:cstheme="minorHAnsi"/>
                <w:b/>
                <w:color w:val="FF0000"/>
                <w:sz w:val="22"/>
                <w:szCs w:val="22"/>
              </w:rPr>
            </w:pPr>
          </w:p>
        </w:tc>
        <w:tc>
          <w:tcPr>
            <w:tcW w:w="1520" w:type="pct"/>
          </w:tcPr>
          <w:p w:rsidR="00AA343F" w:rsidRPr="00923D98" w:rsidP="00AA343F" w14:paraId="1133E520" w14:textId="5F43D754">
            <w:pPr>
              <w:rPr>
                <w:rFonts w:asciiTheme="minorHAnsi" w:hAnsiTheme="minorHAnsi" w:cstheme="minorHAnsi"/>
                <w:sz w:val="22"/>
                <w:szCs w:val="22"/>
              </w:rPr>
            </w:pPr>
            <w:r w:rsidRPr="00923D98">
              <w:rPr>
                <w:rFonts w:asciiTheme="minorHAnsi" w:hAnsiTheme="minorHAnsi" w:cstheme="minorHAnsi"/>
                <w:sz w:val="22"/>
                <w:szCs w:val="22"/>
              </w:rPr>
              <w:t>Rozpracování</w:t>
            </w:r>
            <w:r w:rsidRPr="00923D98">
              <w:rPr>
                <w:rFonts w:asciiTheme="minorHAnsi" w:hAnsiTheme="minorHAnsi" w:cstheme="minorHAnsi"/>
                <w:sz w:val="22"/>
                <w:szCs w:val="22"/>
              </w:rPr>
              <w:t xml:space="preserve"> pilotní</w:t>
            </w:r>
            <w:r w:rsidRPr="00923D98">
              <w:rPr>
                <w:rFonts w:asciiTheme="minorHAnsi" w:hAnsiTheme="minorHAnsi" w:cstheme="minorHAnsi"/>
                <w:sz w:val="22"/>
                <w:szCs w:val="22"/>
              </w:rPr>
              <w:t>ho</w:t>
            </w:r>
            <w:r w:rsidRPr="00923D98">
              <w:rPr>
                <w:rFonts w:asciiTheme="minorHAnsi" w:hAnsiTheme="minorHAnsi" w:cstheme="minorHAnsi"/>
                <w:sz w:val="22"/>
                <w:szCs w:val="22"/>
              </w:rPr>
              <w:t xml:space="preserve"> projekt</w:t>
            </w:r>
            <w:r w:rsidRPr="00923D98">
              <w:rPr>
                <w:rFonts w:asciiTheme="minorHAnsi" w:hAnsiTheme="minorHAnsi" w:cstheme="minorHAnsi"/>
                <w:sz w:val="22"/>
                <w:szCs w:val="22"/>
              </w:rPr>
              <w:t>u</w:t>
            </w:r>
            <w:r w:rsidRPr="00923D98">
              <w:rPr>
                <w:rFonts w:asciiTheme="minorHAnsi" w:hAnsiTheme="minorHAnsi" w:cstheme="minorHAnsi"/>
                <w:sz w:val="22"/>
                <w:szCs w:val="22"/>
              </w:rPr>
              <w:t xml:space="preserve"> </w:t>
            </w:r>
            <w:r w:rsidRPr="00923D98">
              <w:rPr>
                <w:rFonts w:asciiTheme="minorHAnsi" w:hAnsiTheme="minorHAnsi" w:cstheme="minorHAnsi"/>
                <w:sz w:val="22"/>
                <w:szCs w:val="22"/>
              </w:rPr>
              <w:t>(</w:t>
            </w:r>
            <w:r w:rsidRPr="00923D98">
              <w:rPr>
                <w:rFonts w:asciiTheme="minorHAnsi" w:hAnsiTheme="minorHAnsi" w:cstheme="minorHAnsi"/>
                <w:sz w:val="22"/>
                <w:szCs w:val="22"/>
              </w:rPr>
              <w:t>započatý v</w:t>
            </w:r>
            <w:r w:rsidRPr="00923D98">
              <w:rPr>
                <w:rFonts w:asciiTheme="minorHAnsi" w:hAnsiTheme="minorHAnsi" w:cstheme="minorHAnsi"/>
                <w:sz w:val="22"/>
                <w:szCs w:val="22"/>
              </w:rPr>
              <w:t> </w:t>
            </w:r>
            <w:r w:rsidRPr="00923D98">
              <w:rPr>
                <w:rFonts w:asciiTheme="minorHAnsi" w:hAnsiTheme="minorHAnsi" w:cstheme="minorHAnsi"/>
                <w:sz w:val="22"/>
                <w:szCs w:val="22"/>
              </w:rPr>
              <w:t>roce 2024</w:t>
            </w:r>
            <w:r w:rsidRPr="00923D98">
              <w:rPr>
                <w:rFonts w:asciiTheme="minorHAnsi" w:hAnsiTheme="minorHAnsi" w:cstheme="minorHAnsi"/>
                <w:sz w:val="22"/>
                <w:szCs w:val="22"/>
              </w:rPr>
              <w:t xml:space="preserve">) pro vytvoření rezervy významných léčivých přípravků </w:t>
            </w:r>
            <w:r w:rsidRPr="00923D98" w:rsidR="00B90FEE">
              <w:rPr>
                <w:rFonts w:asciiTheme="minorHAnsi" w:hAnsiTheme="minorHAnsi" w:cstheme="minorHAnsi"/>
                <w:sz w:val="22"/>
                <w:szCs w:val="22"/>
              </w:rPr>
              <w:t xml:space="preserve">v dodavatelském řetězci. Díky rezervě bude možné, </w:t>
            </w:r>
            <w:r w:rsidRPr="00923D98">
              <w:rPr>
                <w:rFonts w:asciiTheme="minorHAnsi" w:hAnsiTheme="minorHAnsi" w:cstheme="minorHAnsi"/>
                <w:sz w:val="22"/>
                <w:szCs w:val="22"/>
              </w:rPr>
              <w:t xml:space="preserve">v případě potřeby (při výpadku dodávek či za účelem řešení krizí) uvolnit do </w:t>
            </w:r>
            <w:r w:rsidRPr="00923D98" w:rsidR="00833A7E">
              <w:rPr>
                <w:rFonts w:asciiTheme="minorHAnsi" w:hAnsiTheme="minorHAnsi" w:cstheme="minorHAnsi"/>
                <w:sz w:val="22"/>
                <w:szCs w:val="22"/>
              </w:rPr>
              <w:t>léčivé přípravky lékárnám</w:t>
            </w:r>
            <w:r w:rsidRPr="00923D98" w:rsidR="00C87B76">
              <w:rPr>
                <w:rFonts w:asciiTheme="minorHAnsi" w:hAnsiTheme="minorHAnsi" w:cstheme="minorHAnsi"/>
                <w:sz w:val="22"/>
                <w:szCs w:val="22"/>
              </w:rPr>
              <w:t xml:space="preserve"> </w:t>
            </w:r>
            <w:r w:rsidRPr="00923D98">
              <w:rPr>
                <w:rFonts w:asciiTheme="minorHAnsi" w:hAnsiTheme="minorHAnsi" w:cstheme="minorHAnsi"/>
                <w:sz w:val="22"/>
                <w:szCs w:val="22"/>
              </w:rPr>
              <w:t xml:space="preserve">pro zajištění </w:t>
            </w:r>
            <w:r w:rsidRPr="00923D98" w:rsidR="00833A7E">
              <w:rPr>
                <w:rFonts w:asciiTheme="minorHAnsi" w:hAnsiTheme="minorHAnsi" w:cstheme="minorHAnsi"/>
                <w:sz w:val="22"/>
                <w:szCs w:val="22"/>
              </w:rPr>
              <w:t>potřeb</w:t>
            </w:r>
            <w:r w:rsidRPr="00923D98">
              <w:rPr>
                <w:rFonts w:asciiTheme="minorHAnsi" w:hAnsiTheme="minorHAnsi" w:cstheme="minorHAnsi"/>
                <w:sz w:val="22"/>
                <w:szCs w:val="22"/>
              </w:rPr>
              <w:t xml:space="preserve"> pacientů.</w:t>
            </w:r>
          </w:p>
        </w:tc>
        <w:tc>
          <w:tcPr>
            <w:tcW w:w="1100" w:type="pct"/>
          </w:tcPr>
          <w:p w:rsidR="00AA343F" w:rsidRPr="00923D98" w:rsidP="00AA343F" w14:paraId="0EE9AAC9" w14:textId="0519A82A">
            <w:pPr>
              <w:rPr>
                <w:rFonts w:asciiTheme="minorHAnsi" w:hAnsiTheme="minorHAnsi" w:cstheme="minorHAnsi"/>
                <w:sz w:val="22"/>
                <w:szCs w:val="22"/>
              </w:rPr>
            </w:pPr>
            <w:r w:rsidRPr="00923D98">
              <w:rPr>
                <w:rFonts w:asciiTheme="minorHAnsi" w:hAnsiTheme="minorHAnsi" w:cstheme="minorHAnsi"/>
                <w:sz w:val="22"/>
                <w:szCs w:val="22"/>
              </w:rPr>
              <w:t>Rozšíření systému rezervací u</w:t>
            </w:r>
            <w:r w:rsidRPr="00923D98" w:rsidR="006E0010">
              <w:rPr>
                <w:rFonts w:asciiTheme="minorHAnsi" w:hAnsiTheme="minorHAnsi" w:cstheme="minorHAnsi"/>
                <w:sz w:val="22"/>
                <w:szCs w:val="22"/>
              </w:rPr>
              <w:t> </w:t>
            </w:r>
            <w:r w:rsidRPr="00923D98">
              <w:rPr>
                <w:rFonts w:asciiTheme="minorHAnsi" w:hAnsiTheme="minorHAnsi" w:cstheme="minorHAnsi"/>
                <w:sz w:val="22"/>
                <w:szCs w:val="22"/>
              </w:rPr>
              <w:t>Správy státních hmotných rezerv o léčivé přípravky uvedené v seznamu kritických léčiv</w:t>
            </w:r>
          </w:p>
        </w:tc>
        <w:tc>
          <w:tcPr>
            <w:tcW w:w="448" w:type="pct"/>
          </w:tcPr>
          <w:p w:rsidR="00AA343F" w:rsidRPr="00923D98" w:rsidP="00AA343F" w14:paraId="3549904D" w14:textId="14D40BB7">
            <w:pPr>
              <w:rPr>
                <w:rFonts w:asciiTheme="minorHAnsi" w:hAnsiTheme="minorHAnsi" w:cstheme="minorHAnsi"/>
                <w:sz w:val="22"/>
                <w:szCs w:val="22"/>
              </w:rPr>
            </w:pPr>
            <w:r w:rsidRPr="00923D98">
              <w:rPr>
                <w:rFonts w:asciiTheme="minorHAnsi" w:hAnsiTheme="minorHAnsi" w:cstheme="minorHAnsi"/>
                <w:sz w:val="22"/>
                <w:szCs w:val="22"/>
              </w:rPr>
              <w:t>2027-2029</w:t>
            </w:r>
          </w:p>
        </w:tc>
        <w:tc>
          <w:tcPr>
            <w:tcW w:w="429" w:type="pct"/>
          </w:tcPr>
          <w:p w:rsidR="00AA343F" w:rsidRPr="00923D98" w:rsidP="00AA343F" w14:paraId="6231A50D" w14:textId="25D237E9">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AA343F" w:rsidRPr="00923D98" w:rsidP="00AA343F" w14:paraId="2595BDB7" w14:textId="76931BCF">
            <w:pPr>
              <w:rPr>
                <w:rFonts w:asciiTheme="minorHAnsi" w:hAnsiTheme="minorHAnsi" w:cstheme="minorHAnsi"/>
                <w:sz w:val="22"/>
                <w:szCs w:val="22"/>
              </w:rPr>
            </w:pPr>
            <w:r w:rsidRPr="00923D98">
              <w:rPr>
                <w:rFonts w:asciiTheme="minorHAnsi" w:hAnsiTheme="minorHAnsi" w:cstheme="minorHAnsi"/>
                <w:sz w:val="22"/>
                <w:szCs w:val="22"/>
              </w:rPr>
              <w:t>MZD (SE, SL), SSH</w:t>
            </w:r>
            <w:r w:rsidRPr="00923D98" w:rsidR="00C40F4B">
              <w:rPr>
                <w:rFonts w:asciiTheme="minorHAnsi" w:hAnsiTheme="minorHAnsi" w:cstheme="minorHAnsi"/>
                <w:sz w:val="22"/>
                <w:szCs w:val="22"/>
              </w:rPr>
              <w:t>R</w:t>
            </w:r>
            <w:r w:rsidRPr="00923D98">
              <w:rPr>
                <w:rFonts w:asciiTheme="minorHAnsi" w:hAnsiTheme="minorHAnsi" w:cstheme="minorHAnsi"/>
                <w:sz w:val="22"/>
                <w:szCs w:val="22"/>
              </w:rPr>
              <w:t xml:space="preserve">, </w:t>
            </w:r>
            <w:r w:rsidRPr="00923D98" w:rsidR="00820AD7">
              <w:rPr>
                <w:rFonts w:asciiTheme="minorHAnsi" w:hAnsiTheme="minorHAnsi" w:cstheme="minorHAnsi"/>
                <w:sz w:val="22"/>
                <w:szCs w:val="22"/>
              </w:rPr>
              <w:t>MF</w:t>
            </w:r>
            <w:r w:rsidRPr="00923D98">
              <w:rPr>
                <w:rFonts w:asciiTheme="minorHAnsi" w:hAnsiTheme="minorHAnsi" w:cstheme="minorHAnsi"/>
                <w:sz w:val="22"/>
                <w:szCs w:val="22"/>
              </w:rPr>
              <w:t>, SÚKL</w:t>
            </w:r>
          </w:p>
        </w:tc>
      </w:tr>
      <w:tr w14:paraId="4D3C885A" w14:textId="77777777" w:rsidTr="00FF7BEB">
        <w:tblPrEx>
          <w:tblW w:w="5000" w:type="pct"/>
          <w:tblLook w:val="0600"/>
        </w:tblPrEx>
        <w:trPr>
          <w:trHeight w:val="806"/>
        </w:trPr>
        <w:tc>
          <w:tcPr>
            <w:tcW w:w="910" w:type="pct"/>
          </w:tcPr>
          <w:p w:rsidR="00AA343F" w:rsidRPr="00923D98" w:rsidP="00AA343F" w14:paraId="1001E4E9" w14:textId="77777777">
            <w:pPr>
              <w:rPr>
                <w:rFonts w:asciiTheme="minorHAnsi" w:hAnsiTheme="minorHAnsi" w:cstheme="minorHAnsi"/>
                <w:b/>
                <w:color w:val="FF0000"/>
                <w:sz w:val="22"/>
                <w:szCs w:val="22"/>
              </w:rPr>
            </w:pPr>
          </w:p>
        </w:tc>
        <w:tc>
          <w:tcPr>
            <w:tcW w:w="1520" w:type="pct"/>
          </w:tcPr>
          <w:p w:rsidR="00AA343F" w:rsidRPr="00923D98" w:rsidP="00AA343F" w14:paraId="33B77678" w14:textId="50C122C3">
            <w:pPr>
              <w:rPr>
                <w:rFonts w:asciiTheme="minorHAnsi" w:hAnsiTheme="minorHAnsi" w:cstheme="minorHAnsi"/>
                <w:sz w:val="22"/>
                <w:szCs w:val="22"/>
              </w:rPr>
            </w:pPr>
            <w:r w:rsidRPr="00923D98">
              <w:rPr>
                <w:rFonts w:asciiTheme="minorHAnsi" w:hAnsiTheme="minorHAnsi" w:cstheme="minorHAnsi"/>
                <w:bCs/>
                <w:sz w:val="22"/>
                <w:szCs w:val="22"/>
              </w:rPr>
              <w:t>Vytvoření zásoby vybraných skupin léčivých přípravků u distributorů</w:t>
            </w:r>
          </w:p>
        </w:tc>
        <w:tc>
          <w:tcPr>
            <w:tcW w:w="1100" w:type="pct"/>
          </w:tcPr>
          <w:p w:rsidR="00AA343F" w:rsidRPr="00923D98" w:rsidP="00AA343F" w14:paraId="2048996F" w14:textId="00B16CED">
            <w:pPr>
              <w:rPr>
                <w:rFonts w:asciiTheme="minorHAnsi" w:hAnsiTheme="minorHAnsi" w:cstheme="minorHAnsi"/>
                <w:sz w:val="22"/>
                <w:szCs w:val="22"/>
              </w:rPr>
            </w:pPr>
            <w:r w:rsidRPr="00923D98">
              <w:rPr>
                <w:rFonts w:asciiTheme="minorHAnsi" w:hAnsiTheme="minorHAnsi" w:cstheme="minorHAnsi"/>
                <w:bCs/>
                <w:sz w:val="22"/>
                <w:szCs w:val="22"/>
              </w:rPr>
              <w:t>Rozšíření systému rezervních zásob</w:t>
            </w:r>
          </w:p>
        </w:tc>
        <w:tc>
          <w:tcPr>
            <w:tcW w:w="448" w:type="pct"/>
          </w:tcPr>
          <w:p w:rsidR="00AA343F" w:rsidRPr="00923D98" w:rsidP="00AA343F" w14:paraId="1C3307E0" w14:textId="1CEA5B94">
            <w:pPr>
              <w:rPr>
                <w:rFonts w:asciiTheme="minorHAnsi" w:hAnsiTheme="minorHAnsi" w:cstheme="minorHAnsi"/>
                <w:sz w:val="22"/>
                <w:szCs w:val="22"/>
              </w:rPr>
            </w:pPr>
            <w:r w:rsidRPr="00923D98">
              <w:rPr>
                <w:rFonts w:asciiTheme="minorHAnsi" w:hAnsiTheme="minorHAnsi" w:cstheme="minorHAnsi"/>
                <w:sz w:val="22"/>
                <w:szCs w:val="22"/>
              </w:rPr>
              <w:t>2026–2031</w:t>
            </w:r>
          </w:p>
        </w:tc>
        <w:tc>
          <w:tcPr>
            <w:tcW w:w="429" w:type="pct"/>
          </w:tcPr>
          <w:p w:rsidR="00AA343F" w:rsidRPr="00923D98" w:rsidP="00AA343F" w14:paraId="6CC1D9F7" w14:textId="4E54260F">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AA343F" w:rsidRPr="00923D98" w:rsidP="00AA343F" w14:paraId="63D3BE68" w14:textId="0D44D9BB">
            <w:pPr>
              <w:rPr>
                <w:rFonts w:asciiTheme="minorHAnsi" w:hAnsiTheme="minorHAnsi" w:cstheme="minorHAnsi"/>
                <w:sz w:val="22"/>
                <w:szCs w:val="22"/>
              </w:rPr>
            </w:pPr>
            <w:r w:rsidRPr="00923D98">
              <w:rPr>
                <w:rFonts w:asciiTheme="minorHAnsi" w:hAnsiTheme="minorHAnsi" w:cstheme="minorHAnsi"/>
                <w:sz w:val="22"/>
                <w:szCs w:val="22"/>
              </w:rPr>
              <w:t xml:space="preserve">SÚKL, </w:t>
            </w:r>
          </w:p>
        </w:tc>
      </w:tr>
      <w:tr w14:paraId="688A25A7" w14:textId="69A28867" w:rsidTr="00FF7BEB">
        <w:tblPrEx>
          <w:tblW w:w="5000" w:type="pct"/>
          <w:tblLook w:val="0600"/>
        </w:tblPrEx>
        <w:trPr>
          <w:trHeight w:val="806"/>
        </w:trPr>
        <w:tc>
          <w:tcPr>
            <w:tcW w:w="910" w:type="pct"/>
            <w:vMerge w:val="restart"/>
          </w:tcPr>
          <w:p w:rsidR="00AA343F" w:rsidRPr="00923D98" w:rsidP="00AA343F" w14:paraId="418E790F" w14:textId="5910196D">
            <w:pPr>
              <w:rPr>
                <w:rFonts w:asciiTheme="minorHAnsi" w:hAnsiTheme="minorHAnsi" w:cstheme="minorHAnsi"/>
                <w:b/>
                <w:sz w:val="22"/>
                <w:szCs w:val="22"/>
              </w:rPr>
            </w:pPr>
            <w:r w:rsidRPr="00923D98">
              <w:rPr>
                <w:rFonts w:asciiTheme="minorHAnsi" w:hAnsiTheme="minorHAnsi" w:cstheme="minorHAnsi"/>
                <w:b/>
                <w:sz w:val="22"/>
                <w:szCs w:val="22"/>
              </w:rPr>
              <w:t>1.3.2 Zavést systém monitoringu léčiv</w:t>
            </w:r>
          </w:p>
        </w:tc>
        <w:tc>
          <w:tcPr>
            <w:tcW w:w="1520" w:type="pct"/>
          </w:tcPr>
          <w:p w:rsidR="00AA343F" w:rsidRPr="00923D98" w:rsidP="00AA343F" w14:paraId="197E2DB0" w14:textId="44BD5CE9">
            <w:pPr>
              <w:rPr>
                <w:rFonts w:asciiTheme="minorHAnsi" w:hAnsiTheme="minorHAnsi" w:cstheme="minorHAnsi"/>
                <w:sz w:val="22"/>
                <w:szCs w:val="22"/>
              </w:rPr>
            </w:pPr>
            <w:r w:rsidRPr="00923D98">
              <w:rPr>
                <w:rFonts w:asciiTheme="minorHAnsi" w:hAnsiTheme="minorHAnsi" w:cstheme="minorHAnsi"/>
                <w:sz w:val="22"/>
                <w:szCs w:val="22"/>
              </w:rPr>
              <w:t xml:space="preserve">Řízení </w:t>
            </w:r>
            <w:r w:rsidRPr="00923D98" w:rsidR="00C342AB">
              <w:rPr>
                <w:rFonts w:asciiTheme="minorHAnsi" w:hAnsiTheme="minorHAnsi" w:cstheme="minorHAnsi"/>
                <w:sz w:val="22"/>
                <w:szCs w:val="22"/>
              </w:rPr>
              <w:t>distribuce léčivých přípravků pro zajištění dostupnosti</w:t>
            </w:r>
            <w:r w:rsidRPr="00923D98" w:rsidR="008A1A3E">
              <w:rPr>
                <w:rFonts w:asciiTheme="minorHAnsi" w:hAnsiTheme="minorHAnsi" w:cstheme="minorHAnsi"/>
                <w:sz w:val="22"/>
                <w:szCs w:val="22"/>
              </w:rPr>
              <w:t>.</w:t>
            </w:r>
          </w:p>
        </w:tc>
        <w:tc>
          <w:tcPr>
            <w:tcW w:w="1100" w:type="pct"/>
          </w:tcPr>
          <w:p w:rsidR="00AA343F" w:rsidRPr="00923D98" w:rsidP="00AA343F" w14:paraId="11C70CCB" w14:textId="5D5F66DC">
            <w:pPr>
              <w:rPr>
                <w:rFonts w:asciiTheme="minorHAnsi" w:hAnsiTheme="minorHAnsi" w:cstheme="minorHAnsi"/>
                <w:sz w:val="22"/>
                <w:szCs w:val="22"/>
              </w:rPr>
            </w:pPr>
            <w:r w:rsidRPr="00923D98">
              <w:rPr>
                <w:rFonts w:asciiTheme="minorHAnsi" w:hAnsiTheme="minorHAnsi" w:cstheme="minorHAnsi"/>
                <w:sz w:val="22"/>
                <w:szCs w:val="22"/>
              </w:rPr>
              <w:t>Zavedení systému sběru dat o dostupnosti léčivých přípravků, a to i v rozsahu léčivých přípravků, které nejsou hrazeny z veřejného zdravotního pojištění nebo které nemají stanovenou maximální cenu.</w:t>
            </w:r>
          </w:p>
        </w:tc>
        <w:tc>
          <w:tcPr>
            <w:tcW w:w="448" w:type="pct"/>
          </w:tcPr>
          <w:p w:rsidR="00AA343F" w:rsidRPr="00923D98" w:rsidP="00AA343F" w14:paraId="2F420EFE" w14:textId="37FE5738">
            <w:pPr>
              <w:rPr>
                <w:rFonts w:asciiTheme="minorHAnsi" w:hAnsiTheme="minorHAnsi" w:cstheme="minorHAnsi"/>
                <w:sz w:val="22"/>
                <w:szCs w:val="22"/>
              </w:rPr>
            </w:pPr>
            <w:r w:rsidRPr="00923D98">
              <w:rPr>
                <w:rFonts w:asciiTheme="minorHAnsi" w:hAnsiTheme="minorHAnsi" w:cstheme="minorHAnsi"/>
                <w:sz w:val="22"/>
                <w:szCs w:val="22"/>
              </w:rPr>
              <w:t>2027-2029</w:t>
            </w:r>
          </w:p>
        </w:tc>
        <w:tc>
          <w:tcPr>
            <w:tcW w:w="429" w:type="pct"/>
          </w:tcPr>
          <w:p w:rsidR="00AA343F" w:rsidRPr="00923D98" w:rsidP="00AA343F" w14:paraId="1445EBBC" w14:textId="14D18FA6">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AA343F" w:rsidRPr="00923D98" w:rsidP="00AA343F" w14:paraId="5E73AD03" w14:textId="14C031FB">
            <w:pPr>
              <w:rPr>
                <w:rFonts w:asciiTheme="minorHAnsi" w:hAnsiTheme="minorHAnsi" w:cstheme="minorHAnsi"/>
                <w:sz w:val="22"/>
                <w:szCs w:val="22"/>
              </w:rPr>
            </w:pPr>
            <w:r w:rsidRPr="00923D98">
              <w:rPr>
                <w:rFonts w:asciiTheme="minorHAnsi" w:hAnsiTheme="minorHAnsi" w:cstheme="minorHAnsi"/>
                <w:sz w:val="22"/>
                <w:szCs w:val="22"/>
              </w:rPr>
              <w:t>MZD (SL), ČLnK, distributoři, MAH, SÚKL</w:t>
            </w:r>
          </w:p>
        </w:tc>
      </w:tr>
      <w:tr w14:paraId="739ABCB4" w14:textId="138A855A" w:rsidTr="00FF7BEB">
        <w:tblPrEx>
          <w:tblW w:w="5000" w:type="pct"/>
          <w:tblLook w:val="0600"/>
        </w:tblPrEx>
        <w:trPr>
          <w:trHeight w:val="806"/>
        </w:trPr>
        <w:tc>
          <w:tcPr>
            <w:tcW w:w="910" w:type="pct"/>
            <w:vMerge/>
          </w:tcPr>
          <w:p w:rsidR="00AA343F" w:rsidRPr="00923D98" w:rsidP="00AA343F" w14:paraId="16D35987" w14:textId="77777777">
            <w:pPr>
              <w:rPr>
                <w:rFonts w:asciiTheme="minorHAnsi" w:hAnsiTheme="minorHAnsi" w:cstheme="minorHAnsi"/>
                <w:b/>
                <w:sz w:val="22"/>
                <w:szCs w:val="22"/>
              </w:rPr>
            </w:pPr>
          </w:p>
        </w:tc>
        <w:tc>
          <w:tcPr>
            <w:tcW w:w="1520" w:type="pct"/>
          </w:tcPr>
          <w:p w:rsidR="00AA343F" w:rsidRPr="00923D98" w:rsidP="00AA343F" w14:paraId="05C0D549" w14:textId="3563DE71">
            <w:pPr>
              <w:rPr>
                <w:rFonts w:asciiTheme="minorHAnsi" w:hAnsiTheme="minorHAnsi" w:cstheme="minorHAnsi"/>
                <w:sz w:val="22"/>
                <w:szCs w:val="22"/>
              </w:rPr>
            </w:pPr>
            <w:r w:rsidRPr="00923D98">
              <w:rPr>
                <w:rFonts w:asciiTheme="minorHAnsi" w:hAnsiTheme="minorHAnsi" w:cstheme="minorHAnsi"/>
                <w:sz w:val="22"/>
                <w:szCs w:val="22"/>
              </w:rPr>
              <w:t xml:space="preserve">Zlepšení plynulosti dodávek léčivých přípravků napříč dodavatelským řetězcem a současně umožnění pacientům ověřit skladové zásoby jednotlivých lékáren a </w:t>
            </w:r>
            <w:r w:rsidRPr="00923D98">
              <w:rPr>
                <w:rFonts w:asciiTheme="minorHAnsi" w:hAnsiTheme="minorHAnsi" w:cstheme="minorHAnsi"/>
                <w:sz w:val="22"/>
                <w:szCs w:val="22"/>
              </w:rPr>
              <w:t xml:space="preserve">vybrat </w:t>
            </w:r>
            <w:r w:rsidRPr="00923D98" w:rsidR="00C35A58">
              <w:rPr>
                <w:rFonts w:asciiTheme="minorHAnsi" w:hAnsiTheme="minorHAnsi" w:cstheme="minorHAnsi"/>
                <w:sz w:val="22"/>
                <w:szCs w:val="22"/>
              </w:rPr>
              <w:t xml:space="preserve">si tak </w:t>
            </w:r>
            <w:r w:rsidRPr="00923D98">
              <w:rPr>
                <w:rFonts w:asciiTheme="minorHAnsi" w:hAnsiTheme="minorHAnsi" w:cstheme="minorHAnsi"/>
                <w:sz w:val="22"/>
                <w:szCs w:val="22"/>
              </w:rPr>
              <w:t>konkrétní lékárnu, která daným léčivým přípravkem skutečně disponuje.</w:t>
            </w:r>
          </w:p>
        </w:tc>
        <w:tc>
          <w:tcPr>
            <w:tcW w:w="1100" w:type="pct"/>
          </w:tcPr>
          <w:p w:rsidR="00AA343F" w:rsidRPr="00923D98" w:rsidP="00AA343F" w14:paraId="451E4C10" w14:textId="1A762BFD">
            <w:pPr>
              <w:rPr>
                <w:rFonts w:asciiTheme="minorHAnsi" w:hAnsiTheme="minorHAnsi" w:cstheme="minorHAnsi"/>
                <w:sz w:val="22"/>
                <w:szCs w:val="22"/>
              </w:rPr>
            </w:pPr>
            <w:r w:rsidRPr="00923D98">
              <w:rPr>
                <w:rFonts w:asciiTheme="minorHAnsi" w:hAnsiTheme="minorHAnsi" w:cstheme="minorHAnsi"/>
                <w:sz w:val="22"/>
                <w:szCs w:val="22"/>
              </w:rPr>
              <w:t>Z</w:t>
            </w:r>
            <w:r w:rsidRPr="00923D98" w:rsidR="00F4592D">
              <w:rPr>
                <w:rFonts w:asciiTheme="minorHAnsi" w:hAnsiTheme="minorHAnsi" w:cstheme="minorHAnsi"/>
                <w:sz w:val="22"/>
                <w:szCs w:val="22"/>
              </w:rPr>
              <w:t>výšení frekvence sběru dat z trhu</w:t>
            </w:r>
          </w:p>
        </w:tc>
        <w:tc>
          <w:tcPr>
            <w:tcW w:w="448" w:type="pct"/>
          </w:tcPr>
          <w:p w:rsidR="00AA343F" w:rsidRPr="00923D98" w:rsidP="00AA343F" w14:paraId="2F1F2C51" w14:textId="4E79CA59">
            <w:pPr>
              <w:rPr>
                <w:rFonts w:asciiTheme="minorHAnsi" w:hAnsiTheme="minorHAnsi" w:cstheme="minorHAnsi"/>
                <w:sz w:val="22"/>
                <w:szCs w:val="22"/>
              </w:rPr>
            </w:pPr>
            <w:r w:rsidRPr="00923D98">
              <w:rPr>
                <w:rFonts w:asciiTheme="minorHAnsi" w:hAnsiTheme="minorHAnsi" w:cstheme="minorHAnsi"/>
                <w:sz w:val="22"/>
                <w:szCs w:val="22"/>
              </w:rPr>
              <w:t>2027-2029</w:t>
            </w:r>
          </w:p>
        </w:tc>
        <w:tc>
          <w:tcPr>
            <w:tcW w:w="429" w:type="pct"/>
          </w:tcPr>
          <w:p w:rsidR="00AA343F" w:rsidRPr="00923D98" w:rsidP="00AA343F" w14:paraId="59F3D958" w14:textId="4680A008">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AA343F" w:rsidRPr="00923D98" w:rsidP="00AA343F" w14:paraId="58BCC3A0" w14:textId="33A29F95">
            <w:pPr>
              <w:rPr>
                <w:rFonts w:asciiTheme="minorHAnsi" w:hAnsiTheme="minorHAnsi" w:cstheme="minorHAnsi"/>
                <w:sz w:val="22"/>
                <w:szCs w:val="22"/>
              </w:rPr>
            </w:pPr>
            <w:r w:rsidRPr="00923D98">
              <w:rPr>
                <w:rFonts w:asciiTheme="minorHAnsi" w:hAnsiTheme="minorHAnsi" w:cstheme="minorHAnsi"/>
                <w:sz w:val="22"/>
                <w:szCs w:val="22"/>
              </w:rPr>
              <w:t>MZD (SL), ČLnK, distributoři, MAH, SÚKL</w:t>
            </w:r>
          </w:p>
        </w:tc>
      </w:tr>
      <w:tr w14:paraId="53939658" w14:textId="77777777" w:rsidTr="00FF7BEB">
        <w:tblPrEx>
          <w:tblW w:w="5000" w:type="pct"/>
          <w:tblLook w:val="0600"/>
        </w:tblPrEx>
        <w:trPr>
          <w:trHeight w:val="1545"/>
        </w:trPr>
        <w:tc>
          <w:tcPr>
            <w:tcW w:w="910" w:type="pct"/>
          </w:tcPr>
          <w:p w:rsidR="006F689D" w:rsidRPr="00923D98" w:rsidP="006F689D" w14:paraId="0F5C7F34" w14:textId="16303762">
            <w:pPr>
              <w:rPr>
                <w:rFonts w:asciiTheme="minorHAnsi" w:hAnsiTheme="minorHAnsi" w:cstheme="minorHAnsi"/>
                <w:b/>
                <w:sz w:val="22"/>
                <w:szCs w:val="22"/>
              </w:rPr>
            </w:pPr>
            <w:r w:rsidRPr="00923D98">
              <w:rPr>
                <w:rFonts w:asciiTheme="minorHAnsi" w:hAnsiTheme="minorHAnsi" w:cstheme="minorHAnsi"/>
                <w:b/>
                <w:sz w:val="22"/>
                <w:szCs w:val="22"/>
              </w:rPr>
              <w:t>1.3.3 Zvýšit aktivní zapojení stakeholderů</w:t>
            </w:r>
          </w:p>
        </w:tc>
        <w:tc>
          <w:tcPr>
            <w:tcW w:w="1520" w:type="pct"/>
          </w:tcPr>
          <w:p w:rsidR="006F689D" w:rsidRPr="00923D98" w:rsidP="006F689D" w14:paraId="6A8897A0" w14:textId="720DFD27">
            <w:pPr>
              <w:rPr>
                <w:rFonts w:asciiTheme="minorHAnsi" w:hAnsiTheme="minorHAnsi" w:cstheme="minorHAnsi"/>
                <w:bCs/>
                <w:sz w:val="22"/>
                <w:szCs w:val="22"/>
              </w:rPr>
            </w:pPr>
            <w:r w:rsidRPr="00923D98">
              <w:rPr>
                <w:rFonts w:asciiTheme="minorHAnsi" w:hAnsiTheme="minorHAnsi" w:cstheme="minorHAnsi"/>
                <w:bCs/>
                <w:sz w:val="22"/>
                <w:szCs w:val="22"/>
              </w:rPr>
              <w:t xml:space="preserve">Od 1. ledna 2026 budou mít zdravotní pojišťovny možnost centrálně zadávat veřejné zakázky na nové i dosud nehrazené léčivé přípravky (např. genové terapie), čímž prostřednictvím dohody s distributory vzniká prostor pro snižování nákladů z veřejného zdravotního pojištění. </w:t>
            </w:r>
          </w:p>
        </w:tc>
        <w:tc>
          <w:tcPr>
            <w:tcW w:w="1100" w:type="pct"/>
          </w:tcPr>
          <w:p w:rsidR="006F689D" w:rsidRPr="00923D98" w:rsidP="006F689D" w14:paraId="152DB5A3" w14:textId="5771B5EA">
            <w:pPr>
              <w:rPr>
                <w:rFonts w:asciiTheme="minorHAnsi" w:hAnsiTheme="minorHAnsi" w:cstheme="minorHAnsi"/>
                <w:bCs/>
                <w:sz w:val="22"/>
                <w:szCs w:val="22"/>
              </w:rPr>
            </w:pPr>
            <w:r w:rsidRPr="00923D98">
              <w:rPr>
                <w:rFonts w:asciiTheme="minorHAnsi" w:hAnsiTheme="minorHAnsi" w:cstheme="minorHAnsi"/>
                <w:bCs/>
                <w:sz w:val="22"/>
                <w:szCs w:val="22"/>
              </w:rPr>
              <w:t>Zavedení centrálních nákupů vybraných léčivých přípravků zdravotními pojišťovnami</w:t>
            </w:r>
          </w:p>
        </w:tc>
        <w:tc>
          <w:tcPr>
            <w:tcW w:w="448" w:type="pct"/>
          </w:tcPr>
          <w:p w:rsidR="006F689D" w:rsidRPr="00923D98" w:rsidP="006F689D" w14:paraId="159DDFE5" w14:textId="36FBC7B0">
            <w:pPr>
              <w:rPr>
                <w:rFonts w:asciiTheme="minorHAnsi" w:hAnsiTheme="minorHAnsi" w:cstheme="minorHAnsi"/>
                <w:sz w:val="22"/>
                <w:szCs w:val="22"/>
              </w:rPr>
            </w:pPr>
            <w:r w:rsidRPr="00923D98">
              <w:rPr>
                <w:rFonts w:asciiTheme="minorHAnsi" w:hAnsiTheme="minorHAnsi" w:cstheme="minorHAnsi"/>
                <w:sz w:val="22"/>
                <w:szCs w:val="22"/>
              </w:rPr>
              <w:t>2026-2030</w:t>
            </w:r>
          </w:p>
        </w:tc>
        <w:tc>
          <w:tcPr>
            <w:tcW w:w="429" w:type="pct"/>
          </w:tcPr>
          <w:p w:rsidR="006F689D" w:rsidRPr="00923D98" w:rsidP="006F689D" w14:paraId="64A31813" w14:textId="079093BB">
            <w:pPr>
              <w:rPr>
                <w:rFonts w:asciiTheme="minorHAnsi" w:hAnsiTheme="minorHAnsi" w:cstheme="minorHAnsi"/>
                <w:sz w:val="22"/>
                <w:szCs w:val="22"/>
              </w:rPr>
            </w:pPr>
            <w:r w:rsidRPr="00923D98">
              <w:rPr>
                <w:rFonts w:asciiTheme="minorHAnsi" w:hAnsiTheme="minorHAnsi" w:cstheme="minorHAnsi"/>
                <w:sz w:val="22"/>
                <w:szCs w:val="22"/>
              </w:rPr>
              <w:t>SZÚ, VZP</w:t>
            </w:r>
          </w:p>
        </w:tc>
        <w:tc>
          <w:tcPr>
            <w:tcW w:w="593" w:type="pct"/>
          </w:tcPr>
          <w:p w:rsidR="006F689D" w:rsidRPr="00923D98" w:rsidP="006F689D" w14:paraId="5FDF8078" w14:textId="0B59003F">
            <w:pPr>
              <w:rPr>
                <w:rFonts w:asciiTheme="minorHAnsi" w:hAnsiTheme="minorHAnsi" w:cstheme="minorHAnsi"/>
                <w:color w:val="FF0000"/>
                <w:sz w:val="22"/>
                <w:szCs w:val="22"/>
              </w:rPr>
            </w:pPr>
          </w:p>
        </w:tc>
      </w:tr>
      <w:tr w14:paraId="438A9952" w14:textId="77777777" w:rsidTr="00FF7BEB">
        <w:tblPrEx>
          <w:tblW w:w="5000" w:type="pct"/>
          <w:tblLook w:val="0600"/>
        </w:tblPrEx>
        <w:trPr>
          <w:trHeight w:val="1545"/>
        </w:trPr>
        <w:tc>
          <w:tcPr>
            <w:tcW w:w="910" w:type="pct"/>
          </w:tcPr>
          <w:p w:rsidR="005348D2" w:rsidRPr="00923D98" w:rsidP="005348D2" w14:paraId="193EB2A9" w14:textId="43C8E338">
            <w:pPr>
              <w:rPr>
                <w:rFonts w:asciiTheme="minorHAnsi" w:hAnsiTheme="minorHAnsi" w:cstheme="minorHAnsi"/>
                <w:b/>
                <w:color w:val="FF0000"/>
                <w:sz w:val="22"/>
                <w:szCs w:val="22"/>
              </w:rPr>
            </w:pPr>
          </w:p>
        </w:tc>
        <w:tc>
          <w:tcPr>
            <w:tcW w:w="1520" w:type="pct"/>
          </w:tcPr>
          <w:p w:rsidR="005348D2" w:rsidRPr="00923D98" w:rsidP="005348D2" w14:paraId="1558BFDC" w14:textId="1DB5A2F4">
            <w:pPr>
              <w:rPr>
                <w:rFonts w:asciiTheme="minorHAnsi" w:hAnsiTheme="minorHAnsi" w:cstheme="minorHAnsi"/>
                <w:bCs/>
                <w:sz w:val="22"/>
                <w:szCs w:val="22"/>
              </w:rPr>
            </w:pPr>
            <w:r w:rsidRPr="00923D98">
              <w:rPr>
                <w:rFonts w:asciiTheme="minorHAnsi" w:hAnsiTheme="minorHAnsi" w:cstheme="minorHAnsi"/>
                <w:bCs/>
                <w:sz w:val="22"/>
                <w:szCs w:val="22"/>
              </w:rPr>
              <w:t>Současně budou zdravotní pojišťovny hradit pořízení a distribuci léčivých přípravků, které pro Českou republiku zajistí Evropská unie, mezinárodní organizace nebo uskupení států, jehož je Česká republika členem.</w:t>
            </w:r>
          </w:p>
        </w:tc>
        <w:tc>
          <w:tcPr>
            <w:tcW w:w="1100" w:type="pct"/>
          </w:tcPr>
          <w:p w:rsidR="005348D2" w:rsidRPr="00923D98" w:rsidP="005348D2" w14:paraId="08C512D2" w14:textId="3F0B9092">
            <w:pPr>
              <w:rPr>
                <w:rFonts w:asciiTheme="minorHAnsi" w:hAnsiTheme="minorHAnsi" w:cstheme="minorHAnsi"/>
                <w:bCs/>
                <w:sz w:val="22"/>
                <w:szCs w:val="22"/>
              </w:rPr>
            </w:pPr>
            <w:r w:rsidRPr="00923D98">
              <w:rPr>
                <w:rFonts w:asciiTheme="minorHAnsi" w:hAnsiTheme="minorHAnsi" w:cstheme="minorHAnsi"/>
                <w:bCs/>
                <w:sz w:val="22"/>
                <w:szCs w:val="22"/>
              </w:rPr>
              <w:t>Zajištění úhrad pořízení a distribuce léčivých přípravků, které pro ČR zajistí EU, mezinárodní organizace nebo uskupení států, jehož je Česká republika členem.</w:t>
            </w:r>
          </w:p>
        </w:tc>
        <w:tc>
          <w:tcPr>
            <w:tcW w:w="448" w:type="pct"/>
          </w:tcPr>
          <w:p w:rsidR="005348D2" w:rsidRPr="00923D98" w:rsidP="005348D2" w14:paraId="0B6FC91A" w14:textId="0737B40D">
            <w:pPr>
              <w:rPr>
                <w:rFonts w:asciiTheme="minorHAnsi" w:hAnsiTheme="minorHAnsi" w:cstheme="minorHAnsi"/>
                <w:sz w:val="22"/>
                <w:szCs w:val="22"/>
              </w:rPr>
            </w:pPr>
            <w:r w:rsidRPr="00923D98">
              <w:rPr>
                <w:rFonts w:asciiTheme="minorHAnsi" w:hAnsiTheme="minorHAnsi" w:cstheme="minorHAnsi"/>
                <w:sz w:val="22"/>
                <w:szCs w:val="22"/>
              </w:rPr>
              <w:t>2026-2030</w:t>
            </w:r>
          </w:p>
        </w:tc>
        <w:tc>
          <w:tcPr>
            <w:tcW w:w="429" w:type="pct"/>
          </w:tcPr>
          <w:p w:rsidR="005348D2" w:rsidRPr="00923D98" w:rsidP="005348D2" w14:paraId="5A829082" w14:textId="63EF380B">
            <w:pPr>
              <w:rPr>
                <w:rFonts w:asciiTheme="minorHAnsi" w:hAnsiTheme="minorHAnsi" w:cstheme="minorHAnsi"/>
                <w:sz w:val="22"/>
                <w:szCs w:val="22"/>
              </w:rPr>
            </w:pPr>
            <w:r w:rsidRPr="00923D98">
              <w:rPr>
                <w:rFonts w:asciiTheme="minorHAnsi" w:hAnsiTheme="minorHAnsi" w:cstheme="minorHAnsi"/>
                <w:sz w:val="22"/>
                <w:szCs w:val="22"/>
              </w:rPr>
              <w:t>SZÚ, VZP</w:t>
            </w:r>
          </w:p>
        </w:tc>
        <w:tc>
          <w:tcPr>
            <w:tcW w:w="593" w:type="pct"/>
          </w:tcPr>
          <w:p w:rsidR="005348D2" w:rsidRPr="00923D98" w:rsidP="005348D2" w14:paraId="5DEEAF8E" w14:textId="16CF6C64">
            <w:pPr>
              <w:rPr>
                <w:rFonts w:asciiTheme="minorHAnsi" w:hAnsiTheme="minorHAnsi" w:cstheme="minorHAnsi"/>
                <w:sz w:val="22"/>
                <w:szCs w:val="22"/>
              </w:rPr>
            </w:pPr>
            <w:r w:rsidRPr="00923D98">
              <w:rPr>
                <w:rFonts w:asciiTheme="minorHAnsi" w:hAnsiTheme="minorHAnsi" w:cstheme="minorHAnsi"/>
                <w:sz w:val="22"/>
                <w:szCs w:val="22"/>
              </w:rPr>
              <w:t>MZD (SE-OLZP), ÚV</w:t>
            </w:r>
          </w:p>
        </w:tc>
      </w:tr>
      <w:tr w14:paraId="3963CE52" w14:textId="77777777" w:rsidTr="00FF7BEB">
        <w:tblPrEx>
          <w:tblW w:w="5000" w:type="pct"/>
          <w:tblLook w:val="0600"/>
        </w:tblPrEx>
        <w:trPr>
          <w:trHeight w:val="1545"/>
        </w:trPr>
        <w:tc>
          <w:tcPr>
            <w:tcW w:w="910" w:type="pct"/>
          </w:tcPr>
          <w:p w:rsidR="005348D2" w:rsidRPr="00923D98" w:rsidP="005348D2" w14:paraId="38C53000" w14:textId="77777777">
            <w:pPr>
              <w:rPr>
                <w:rFonts w:asciiTheme="minorHAnsi" w:hAnsiTheme="minorHAnsi" w:cstheme="minorHAnsi"/>
                <w:b/>
                <w:color w:val="FF0000"/>
                <w:sz w:val="22"/>
                <w:szCs w:val="22"/>
              </w:rPr>
            </w:pPr>
          </w:p>
        </w:tc>
        <w:tc>
          <w:tcPr>
            <w:tcW w:w="1520" w:type="pct"/>
          </w:tcPr>
          <w:p w:rsidR="005348D2" w:rsidRPr="00923D98" w:rsidP="005348D2" w14:paraId="7FCF402B" w14:textId="706DBE2E">
            <w:pPr>
              <w:rPr>
                <w:rFonts w:asciiTheme="minorHAnsi" w:hAnsiTheme="minorHAnsi" w:cstheme="minorHAnsi"/>
                <w:bCs/>
                <w:sz w:val="22"/>
                <w:szCs w:val="22"/>
              </w:rPr>
            </w:pPr>
            <w:r w:rsidRPr="00923D98">
              <w:rPr>
                <w:rFonts w:asciiTheme="minorHAnsi" w:hAnsiTheme="minorHAnsi" w:cstheme="minorHAnsi"/>
                <w:bCs/>
                <w:sz w:val="22"/>
                <w:szCs w:val="22"/>
              </w:rPr>
              <w:t>Legislativní ukotvení způsobu zajištění potřeb pacientů ve vztahu k množství a časovým intervalům dodávek léčivých přípravků, aby držitelé rozhodnutí o registraci měli postaveno na jisto, jaké množství léčivých přípravků a v jakých intervalech mají povinnost dodávat na trh v České republice.</w:t>
            </w:r>
          </w:p>
        </w:tc>
        <w:tc>
          <w:tcPr>
            <w:tcW w:w="1100" w:type="pct"/>
          </w:tcPr>
          <w:p w:rsidR="005348D2" w:rsidRPr="00923D98" w:rsidP="005348D2" w14:paraId="4CDDBF76" w14:textId="60057C04">
            <w:pPr>
              <w:rPr>
                <w:rFonts w:asciiTheme="minorHAnsi" w:hAnsiTheme="minorHAnsi" w:cstheme="minorHAnsi"/>
                <w:bCs/>
                <w:sz w:val="22"/>
                <w:szCs w:val="22"/>
              </w:rPr>
            </w:pPr>
            <w:r w:rsidRPr="00923D98">
              <w:rPr>
                <w:rFonts w:asciiTheme="minorHAnsi" w:hAnsiTheme="minorHAnsi" w:cstheme="minorHAnsi"/>
                <w:bCs/>
                <w:sz w:val="22"/>
                <w:szCs w:val="22"/>
              </w:rPr>
              <w:t>Definice způsobu zajištění potřeby pacientů léčivými přípravky ze strany držitelů rozhodnutí o registraci.</w:t>
            </w:r>
          </w:p>
        </w:tc>
        <w:tc>
          <w:tcPr>
            <w:tcW w:w="448" w:type="pct"/>
          </w:tcPr>
          <w:p w:rsidR="005348D2" w:rsidRPr="00923D98" w:rsidP="005348D2" w14:paraId="7206E5DC" w14:textId="1043258E">
            <w:pPr>
              <w:rPr>
                <w:rFonts w:asciiTheme="minorHAnsi" w:hAnsiTheme="minorHAnsi" w:cstheme="minorHAnsi"/>
                <w:sz w:val="22"/>
                <w:szCs w:val="22"/>
              </w:rPr>
            </w:pPr>
            <w:r w:rsidRPr="00923D98">
              <w:rPr>
                <w:rFonts w:asciiTheme="minorHAnsi" w:hAnsiTheme="minorHAnsi" w:cstheme="minorHAnsi"/>
                <w:sz w:val="22"/>
                <w:szCs w:val="22"/>
              </w:rPr>
              <w:t>2026-2027</w:t>
            </w:r>
          </w:p>
        </w:tc>
        <w:tc>
          <w:tcPr>
            <w:tcW w:w="429" w:type="pct"/>
          </w:tcPr>
          <w:p w:rsidR="005348D2" w:rsidRPr="00923D98" w:rsidP="005348D2" w14:paraId="0DAD1A84" w14:textId="65379802">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5348D2" w:rsidRPr="00923D98" w:rsidP="005348D2" w14:paraId="44DEFB84" w14:textId="7CF922DA">
            <w:pPr>
              <w:rPr>
                <w:rFonts w:asciiTheme="minorHAnsi" w:hAnsiTheme="minorHAnsi" w:cstheme="minorHAnsi"/>
                <w:sz w:val="22"/>
                <w:szCs w:val="22"/>
              </w:rPr>
            </w:pPr>
            <w:r w:rsidRPr="00923D98">
              <w:rPr>
                <w:rFonts w:asciiTheme="minorHAnsi" w:hAnsiTheme="minorHAnsi" w:cstheme="minorHAnsi"/>
                <w:sz w:val="22"/>
                <w:szCs w:val="22"/>
              </w:rPr>
              <w:t>MZD (SL), SÚKL</w:t>
            </w:r>
          </w:p>
        </w:tc>
      </w:tr>
      <w:tr w14:paraId="49513849" w14:textId="77777777" w:rsidTr="00FF7BEB">
        <w:tblPrEx>
          <w:tblW w:w="5000" w:type="pct"/>
          <w:tblLook w:val="0600"/>
        </w:tblPrEx>
        <w:trPr>
          <w:trHeight w:val="1545"/>
        </w:trPr>
        <w:tc>
          <w:tcPr>
            <w:tcW w:w="910" w:type="pct"/>
          </w:tcPr>
          <w:p w:rsidR="005348D2" w:rsidRPr="00923D98" w:rsidP="005348D2" w14:paraId="1809A899" w14:textId="77777777">
            <w:pPr>
              <w:rPr>
                <w:rFonts w:asciiTheme="minorHAnsi" w:hAnsiTheme="minorHAnsi" w:cstheme="minorHAnsi"/>
                <w:b/>
                <w:color w:val="FF0000"/>
                <w:sz w:val="22"/>
                <w:szCs w:val="22"/>
              </w:rPr>
            </w:pPr>
          </w:p>
        </w:tc>
        <w:tc>
          <w:tcPr>
            <w:tcW w:w="1520" w:type="pct"/>
          </w:tcPr>
          <w:p w:rsidR="005348D2" w:rsidRPr="00923D98" w:rsidP="005348D2" w14:paraId="4595BCC4" w14:textId="11E3AB2E">
            <w:pPr>
              <w:rPr>
                <w:rFonts w:asciiTheme="minorHAnsi" w:hAnsiTheme="minorHAnsi" w:cstheme="minorHAnsi"/>
                <w:bCs/>
                <w:sz w:val="22"/>
                <w:szCs w:val="22"/>
              </w:rPr>
            </w:pPr>
            <w:r w:rsidRPr="00923D98">
              <w:rPr>
                <w:rFonts w:asciiTheme="minorHAnsi" w:hAnsiTheme="minorHAnsi" w:cstheme="minorHAnsi"/>
                <w:bCs/>
                <w:sz w:val="22"/>
                <w:szCs w:val="22"/>
              </w:rPr>
              <w:t>Existuje řada případů, ve kterých by bylo na základě vyhodnocení situace na trhu a dalších informací získaných z úřední činnosti potřeba označit léčivý přípravek příznakem „omezená dostupnost“ dříve, než je držitelem rozhodnutí o registraci oficiálně oznámeno přerušení či ukončení dodávek léčivého přípravku na trh. Současně je vhodné rozšířit pravomoc označovat léčivé přípravky příznakem „omezená dostupnost“ i na léčivé přípravky, které nemají stanovenou maximální cenu nebo úhradu z veřejného zdravotního pojištění, neboť ty mohou též být významné pro poskytování zdravotních služeb, a tudíž důležité pro zajištění stanovené léčby. Je však zapotřebí nastavit legislativní rámec tak, aby nebyl v rozporu s pravidly volného pohybu zboží Evropské unie.</w:t>
            </w:r>
          </w:p>
        </w:tc>
        <w:tc>
          <w:tcPr>
            <w:tcW w:w="1100" w:type="pct"/>
          </w:tcPr>
          <w:p w:rsidR="005348D2" w:rsidRPr="00923D98" w:rsidP="005348D2" w14:paraId="1C77741C" w14:textId="51ADBFA1">
            <w:pPr>
              <w:rPr>
                <w:rFonts w:asciiTheme="minorHAnsi" w:hAnsiTheme="minorHAnsi" w:cstheme="minorHAnsi"/>
                <w:bCs/>
                <w:sz w:val="22"/>
                <w:szCs w:val="22"/>
              </w:rPr>
            </w:pPr>
            <w:r w:rsidRPr="00923D98">
              <w:rPr>
                <w:rFonts w:asciiTheme="minorHAnsi" w:hAnsiTheme="minorHAnsi" w:cstheme="minorHAnsi"/>
                <w:bCs/>
                <w:sz w:val="22"/>
                <w:szCs w:val="22"/>
              </w:rPr>
              <w:t xml:space="preserve">Rozšíření pravomoci Státního ústavu pro kontrolu léčiv označovat léčivé přípravky příznakem „omezená dostupnost“ tak, aby se nejednalo pouze o reakci na oznámení přerušení či ukončení dodávek léčivého přípravku na trh v České republice. </w:t>
            </w:r>
          </w:p>
        </w:tc>
        <w:tc>
          <w:tcPr>
            <w:tcW w:w="448" w:type="pct"/>
          </w:tcPr>
          <w:p w:rsidR="005348D2" w:rsidRPr="00923D98" w:rsidP="005348D2" w14:paraId="2DAE25E6" w14:textId="1315A416">
            <w:pPr>
              <w:rPr>
                <w:rFonts w:asciiTheme="minorHAnsi" w:hAnsiTheme="minorHAnsi" w:cstheme="minorHAnsi"/>
                <w:sz w:val="22"/>
                <w:szCs w:val="22"/>
              </w:rPr>
            </w:pPr>
            <w:r w:rsidRPr="00923D98">
              <w:rPr>
                <w:rFonts w:asciiTheme="minorHAnsi" w:hAnsiTheme="minorHAnsi" w:cstheme="minorHAnsi"/>
                <w:sz w:val="22"/>
                <w:szCs w:val="22"/>
              </w:rPr>
              <w:t>2027–2029</w:t>
            </w:r>
          </w:p>
        </w:tc>
        <w:tc>
          <w:tcPr>
            <w:tcW w:w="429" w:type="pct"/>
          </w:tcPr>
          <w:p w:rsidR="005348D2" w:rsidRPr="00923D98" w:rsidP="005348D2" w14:paraId="0CF0A639" w14:textId="6858DDFF">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5348D2" w:rsidRPr="00923D98" w:rsidP="005348D2" w14:paraId="07259EFE" w14:textId="3E8C0546">
            <w:pPr>
              <w:rPr>
                <w:rFonts w:asciiTheme="minorHAnsi" w:hAnsiTheme="minorHAnsi" w:cstheme="minorHAnsi"/>
                <w:sz w:val="22"/>
                <w:szCs w:val="22"/>
              </w:rPr>
            </w:pPr>
            <w:r w:rsidRPr="00923D98">
              <w:rPr>
                <w:rFonts w:asciiTheme="minorHAnsi" w:hAnsiTheme="minorHAnsi" w:cstheme="minorHAnsi"/>
                <w:sz w:val="22"/>
                <w:szCs w:val="22"/>
              </w:rPr>
              <w:t>MZD (SL), SÚKL</w:t>
            </w:r>
          </w:p>
        </w:tc>
      </w:tr>
      <w:tr w14:paraId="791215B4" w14:textId="5DEB68C2" w:rsidTr="00FF7BEB">
        <w:tblPrEx>
          <w:tblW w:w="5000" w:type="pct"/>
          <w:tblLook w:val="0600"/>
        </w:tblPrEx>
        <w:trPr>
          <w:trHeight w:val="1545"/>
        </w:trPr>
        <w:tc>
          <w:tcPr>
            <w:tcW w:w="910" w:type="pct"/>
            <w:vMerge w:val="restart"/>
          </w:tcPr>
          <w:p w:rsidR="005348D2" w:rsidRPr="00923D98" w:rsidP="005348D2" w14:paraId="58A1E011" w14:textId="45BC5FA8">
            <w:pPr>
              <w:rPr>
                <w:rFonts w:asciiTheme="minorHAnsi" w:hAnsiTheme="minorHAnsi" w:cstheme="minorHAnsi"/>
                <w:b/>
                <w:sz w:val="22"/>
                <w:szCs w:val="22"/>
              </w:rPr>
            </w:pPr>
            <w:r w:rsidRPr="00923D98">
              <w:rPr>
                <w:rFonts w:asciiTheme="minorHAnsi" w:hAnsiTheme="minorHAnsi" w:cstheme="minorHAnsi"/>
                <w:b/>
                <w:sz w:val="22"/>
                <w:szCs w:val="22"/>
              </w:rPr>
              <w:t>1.3.4 Modernizovat způsoby výdeje léčiv</w:t>
            </w:r>
          </w:p>
        </w:tc>
        <w:tc>
          <w:tcPr>
            <w:tcW w:w="1520" w:type="pct"/>
          </w:tcPr>
          <w:p w:rsidR="005348D2" w:rsidRPr="00923D98" w:rsidP="005348D2" w14:paraId="04CF87AE" w14:textId="328F777B">
            <w:pPr>
              <w:rPr>
                <w:rFonts w:asciiTheme="minorHAnsi" w:hAnsiTheme="minorHAnsi" w:cstheme="minorHAnsi"/>
                <w:bCs/>
                <w:sz w:val="22"/>
                <w:szCs w:val="22"/>
              </w:rPr>
            </w:pPr>
            <w:r w:rsidRPr="00923D98">
              <w:rPr>
                <w:rFonts w:asciiTheme="minorHAnsi" w:hAnsiTheme="minorHAnsi" w:cstheme="minorHAnsi"/>
                <w:bCs/>
                <w:sz w:val="22"/>
                <w:szCs w:val="22"/>
              </w:rPr>
              <w:t>Postupující trend digitalizace a nákupů přes internet se promítá i do oblasti léčiv, kde v některých členských státech již úspěšně funguje zásilkový výdej léčiv, jejichž výdej je vázán na recept.</w:t>
            </w:r>
            <w:r w:rsidRPr="00923D98">
              <w:rPr>
                <w:rFonts w:asciiTheme="minorHAnsi" w:hAnsiTheme="minorHAnsi" w:cstheme="minorHAnsi"/>
                <w:sz w:val="22"/>
                <w:szCs w:val="22"/>
              </w:rPr>
              <w:t xml:space="preserve"> Legislativní ukotvení distančního </w:t>
            </w:r>
            <w:r w:rsidRPr="00923D98">
              <w:rPr>
                <w:rFonts w:asciiTheme="minorHAnsi" w:hAnsiTheme="minorHAnsi" w:cstheme="minorHAnsi"/>
                <w:bCs/>
                <w:sz w:val="22"/>
                <w:szCs w:val="22"/>
              </w:rPr>
              <w:t>způsobu výdeje léčiv, jejichž výdej je vázán na recept.</w:t>
            </w:r>
          </w:p>
        </w:tc>
        <w:tc>
          <w:tcPr>
            <w:tcW w:w="1100" w:type="pct"/>
          </w:tcPr>
          <w:p w:rsidR="005348D2" w:rsidRPr="00923D98" w:rsidP="005348D2" w14:paraId="551DCAA9" w14:textId="56CA0E17">
            <w:pPr>
              <w:rPr>
                <w:rFonts w:asciiTheme="minorHAnsi" w:hAnsiTheme="minorHAnsi" w:cstheme="minorHAnsi"/>
                <w:bCs/>
                <w:sz w:val="22"/>
                <w:szCs w:val="22"/>
              </w:rPr>
            </w:pPr>
            <w:r w:rsidRPr="00923D98">
              <w:rPr>
                <w:rFonts w:asciiTheme="minorHAnsi" w:hAnsiTheme="minorHAnsi" w:cstheme="minorHAnsi"/>
                <w:bCs/>
                <w:sz w:val="22"/>
                <w:szCs w:val="22"/>
              </w:rPr>
              <w:t>Nastavení bezpečného způsobu distančního výdeje léčiv, jejichž výdej je vázán na recept.</w:t>
            </w:r>
          </w:p>
        </w:tc>
        <w:tc>
          <w:tcPr>
            <w:tcW w:w="448" w:type="pct"/>
          </w:tcPr>
          <w:p w:rsidR="005348D2" w:rsidRPr="00923D98" w:rsidP="005348D2" w14:paraId="1919D4F3" w14:textId="067B3420">
            <w:pPr>
              <w:rPr>
                <w:rFonts w:asciiTheme="minorHAnsi" w:hAnsiTheme="minorHAnsi" w:cstheme="minorHAnsi"/>
                <w:sz w:val="22"/>
                <w:szCs w:val="22"/>
              </w:rPr>
            </w:pPr>
            <w:r w:rsidRPr="00923D98">
              <w:rPr>
                <w:rFonts w:asciiTheme="minorHAnsi" w:hAnsiTheme="minorHAnsi" w:cstheme="minorHAnsi"/>
                <w:sz w:val="22"/>
                <w:szCs w:val="22"/>
              </w:rPr>
              <w:t>2027-2028</w:t>
            </w:r>
          </w:p>
        </w:tc>
        <w:tc>
          <w:tcPr>
            <w:tcW w:w="429" w:type="pct"/>
          </w:tcPr>
          <w:p w:rsidR="005348D2" w:rsidRPr="00923D98" w:rsidP="005348D2" w14:paraId="0F0B3829" w14:textId="1A693B45">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5348D2" w:rsidRPr="00923D98" w:rsidP="005348D2" w14:paraId="0BF85900" w14:textId="38E7BCCE">
            <w:pPr>
              <w:rPr>
                <w:rFonts w:asciiTheme="minorHAnsi" w:hAnsiTheme="minorHAnsi" w:cstheme="minorHAnsi"/>
                <w:sz w:val="22"/>
                <w:szCs w:val="22"/>
              </w:rPr>
            </w:pPr>
            <w:r w:rsidRPr="00923D98">
              <w:rPr>
                <w:rFonts w:asciiTheme="minorHAnsi" w:hAnsiTheme="minorHAnsi" w:cstheme="minorHAnsi"/>
                <w:sz w:val="22"/>
                <w:szCs w:val="22"/>
              </w:rPr>
              <w:t xml:space="preserve">MZD (SL), </w:t>
            </w:r>
            <w:r w:rsidRPr="00923D98">
              <w:rPr>
                <w:rFonts w:asciiTheme="minorHAnsi" w:hAnsiTheme="minorHAnsi" w:cstheme="minorHAnsi"/>
                <w:sz w:val="22"/>
                <w:szCs w:val="22"/>
              </w:rPr>
              <w:t>SÚKL, ČLnK</w:t>
            </w:r>
          </w:p>
        </w:tc>
      </w:tr>
      <w:tr w14:paraId="686B6500" w14:textId="77777777" w:rsidTr="006F0530">
        <w:tblPrEx>
          <w:tblW w:w="5000" w:type="pct"/>
          <w:tblLook w:val="0600"/>
        </w:tblPrEx>
        <w:trPr>
          <w:trHeight w:val="997"/>
        </w:trPr>
        <w:tc>
          <w:tcPr>
            <w:tcW w:w="910" w:type="pct"/>
            <w:vMerge/>
          </w:tcPr>
          <w:p w:rsidR="005348D2" w:rsidRPr="00923D98" w:rsidP="005348D2" w14:paraId="6184BBE3" w14:textId="77777777">
            <w:pPr>
              <w:rPr>
                <w:rFonts w:asciiTheme="minorHAnsi" w:hAnsiTheme="minorHAnsi" w:cstheme="minorHAnsi"/>
                <w:b/>
                <w:sz w:val="22"/>
                <w:szCs w:val="22"/>
              </w:rPr>
            </w:pPr>
          </w:p>
        </w:tc>
        <w:tc>
          <w:tcPr>
            <w:tcW w:w="1520" w:type="pct"/>
          </w:tcPr>
          <w:p w:rsidR="005348D2" w:rsidRPr="00923D98" w:rsidP="005348D2" w14:paraId="3C28DB17" w14:textId="73B820C0">
            <w:pPr>
              <w:rPr>
                <w:rFonts w:asciiTheme="minorHAnsi" w:hAnsiTheme="minorHAnsi" w:cstheme="minorHAnsi"/>
                <w:sz w:val="22"/>
                <w:szCs w:val="22"/>
              </w:rPr>
            </w:pPr>
            <w:r w:rsidRPr="00923D98">
              <w:rPr>
                <w:rFonts w:asciiTheme="minorHAnsi" w:hAnsiTheme="minorHAnsi" w:cstheme="minorHAnsi"/>
                <w:sz w:val="22"/>
                <w:szCs w:val="22"/>
              </w:rPr>
              <w:t xml:space="preserve">Legislativní ukotvení a technologické řešení emergentního </w:t>
            </w:r>
            <w:r w:rsidRPr="00923D98">
              <w:rPr>
                <w:rFonts w:asciiTheme="minorHAnsi" w:hAnsiTheme="minorHAnsi" w:cstheme="minorHAnsi"/>
                <w:bCs/>
                <w:sz w:val="22"/>
                <w:szCs w:val="22"/>
              </w:rPr>
              <w:t xml:space="preserve">výdeje léčiv, jejichž výdej je vázán na recept. </w:t>
            </w:r>
          </w:p>
        </w:tc>
        <w:tc>
          <w:tcPr>
            <w:tcW w:w="1100" w:type="pct"/>
          </w:tcPr>
          <w:p w:rsidR="005348D2" w:rsidRPr="00923D98" w:rsidP="005348D2" w14:paraId="0669E337" w14:textId="6FC7BE20">
            <w:pPr>
              <w:rPr>
                <w:rFonts w:asciiTheme="minorHAnsi" w:hAnsiTheme="minorHAnsi" w:cstheme="minorHAnsi"/>
                <w:sz w:val="22"/>
                <w:szCs w:val="22"/>
              </w:rPr>
            </w:pPr>
            <w:r w:rsidRPr="00923D98">
              <w:rPr>
                <w:rFonts w:asciiTheme="minorHAnsi" w:hAnsiTheme="minorHAnsi" w:cstheme="minorHAnsi"/>
                <w:sz w:val="22"/>
                <w:szCs w:val="22"/>
              </w:rPr>
              <w:t>Nastavení bezpečného způsobu emergentního výdeje léčiv</w:t>
            </w:r>
          </w:p>
        </w:tc>
        <w:tc>
          <w:tcPr>
            <w:tcW w:w="448" w:type="pct"/>
          </w:tcPr>
          <w:p w:rsidR="005348D2" w:rsidRPr="00923D98" w:rsidP="005348D2" w14:paraId="273E7100" w14:textId="2E3A6A19">
            <w:pPr>
              <w:rPr>
                <w:rFonts w:asciiTheme="minorHAnsi" w:hAnsiTheme="minorHAnsi" w:cstheme="minorHAnsi"/>
                <w:sz w:val="22"/>
                <w:szCs w:val="22"/>
              </w:rPr>
            </w:pPr>
            <w:r w:rsidRPr="00923D98">
              <w:rPr>
                <w:rFonts w:asciiTheme="minorHAnsi" w:hAnsiTheme="minorHAnsi" w:cstheme="minorHAnsi"/>
                <w:sz w:val="22"/>
                <w:szCs w:val="22"/>
              </w:rPr>
              <w:t>2027–202</w:t>
            </w:r>
            <w:r w:rsidRPr="00923D98" w:rsidR="006B4034">
              <w:rPr>
                <w:rFonts w:asciiTheme="minorHAnsi" w:hAnsiTheme="minorHAnsi" w:cstheme="minorHAnsi"/>
                <w:sz w:val="22"/>
                <w:szCs w:val="22"/>
              </w:rPr>
              <w:t>8</w:t>
            </w:r>
          </w:p>
        </w:tc>
        <w:tc>
          <w:tcPr>
            <w:tcW w:w="429" w:type="pct"/>
          </w:tcPr>
          <w:p w:rsidR="005348D2" w:rsidRPr="00923D98" w:rsidP="005348D2" w14:paraId="2181D36F" w14:textId="42C12F22">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5348D2" w:rsidRPr="00923D98" w:rsidP="005348D2" w14:paraId="0C991947" w14:textId="083A0618">
            <w:pPr>
              <w:rPr>
                <w:rFonts w:asciiTheme="minorHAnsi" w:hAnsiTheme="minorHAnsi" w:cstheme="minorHAnsi"/>
                <w:sz w:val="22"/>
                <w:szCs w:val="22"/>
              </w:rPr>
            </w:pPr>
            <w:r w:rsidRPr="00923D98">
              <w:rPr>
                <w:rFonts w:asciiTheme="minorHAnsi" w:hAnsiTheme="minorHAnsi" w:cstheme="minorHAnsi"/>
                <w:sz w:val="22"/>
                <w:szCs w:val="22"/>
              </w:rPr>
              <w:t>MZD (SL), SÚKL</w:t>
            </w:r>
          </w:p>
        </w:tc>
      </w:tr>
      <w:tr w14:paraId="3D5845D2" w14:textId="785E4846" w:rsidTr="00FF7BEB">
        <w:tblPrEx>
          <w:tblW w:w="5000" w:type="pct"/>
          <w:tblLook w:val="0600"/>
        </w:tblPrEx>
        <w:trPr>
          <w:trHeight w:val="487"/>
        </w:trPr>
        <w:tc>
          <w:tcPr>
            <w:tcW w:w="910" w:type="pct"/>
            <w:vMerge w:val="restart"/>
          </w:tcPr>
          <w:p w:rsidR="00E13108" w:rsidRPr="00923D98" w:rsidP="005348D2" w14:paraId="4DA9AEA5" w14:textId="0262B195">
            <w:pPr>
              <w:rPr>
                <w:rFonts w:asciiTheme="minorHAnsi" w:hAnsiTheme="minorHAnsi" w:cstheme="minorHAnsi"/>
                <w:b/>
                <w:sz w:val="22"/>
                <w:szCs w:val="22"/>
              </w:rPr>
            </w:pPr>
            <w:r w:rsidRPr="00923D98">
              <w:rPr>
                <w:rFonts w:asciiTheme="minorHAnsi" w:hAnsiTheme="minorHAnsi" w:cstheme="minorHAnsi"/>
                <w:b/>
                <w:sz w:val="22"/>
                <w:szCs w:val="22"/>
              </w:rPr>
              <w:t xml:space="preserve">1.3.5 Zvýšit hospodářskou podporu výroby léčiv </w:t>
            </w:r>
            <w:r w:rsidRPr="00923D98">
              <w:rPr>
                <w:rFonts w:asciiTheme="minorHAnsi" w:hAnsiTheme="minorHAnsi" w:cstheme="minorHAnsi"/>
                <w:bCs/>
                <w:i/>
                <w:iCs/>
                <w:sz w:val="22"/>
                <w:szCs w:val="22"/>
              </w:rPr>
              <w:t>(viz Hospodářská strategie a opatření „Posílení soběstačnosti ve výrobě humánních léčiv a léčivých látek tzv. API (aktivní ingredience)“</w:t>
            </w:r>
            <w:r>
              <w:rPr>
                <w:rStyle w:val="FootnoteReference"/>
                <w:rFonts w:asciiTheme="minorHAnsi" w:hAnsiTheme="minorHAnsi" w:cstheme="minorHAnsi"/>
                <w:bCs/>
                <w:i/>
                <w:iCs/>
                <w:sz w:val="22"/>
                <w:szCs w:val="22"/>
              </w:rPr>
              <w:footnoteReference w:id="7"/>
            </w:r>
            <w:r w:rsidRPr="00923D98">
              <w:rPr>
                <w:rFonts w:asciiTheme="minorHAnsi" w:hAnsiTheme="minorHAnsi" w:cstheme="minorHAnsi"/>
                <w:bCs/>
                <w:i/>
                <w:iCs/>
                <w:sz w:val="22"/>
                <w:szCs w:val="22"/>
              </w:rPr>
              <w:t>)</w:t>
            </w:r>
          </w:p>
        </w:tc>
        <w:tc>
          <w:tcPr>
            <w:tcW w:w="1520" w:type="pct"/>
            <w:vMerge w:val="restart"/>
          </w:tcPr>
          <w:p w:rsidR="00E13108" w:rsidRPr="00923D98" w:rsidP="00D32DC2" w14:paraId="376AD09D" w14:textId="573ABCD9">
            <w:pPr>
              <w:rPr>
                <w:rFonts w:asciiTheme="minorHAnsi" w:hAnsiTheme="minorHAnsi" w:cstheme="minorHAnsi"/>
                <w:sz w:val="22"/>
                <w:szCs w:val="22"/>
              </w:rPr>
            </w:pPr>
            <w:r w:rsidRPr="00923D98">
              <w:rPr>
                <w:rFonts w:asciiTheme="minorHAnsi" w:hAnsiTheme="minorHAnsi" w:cstheme="minorHAnsi"/>
                <w:sz w:val="22"/>
                <w:szCs w:val="22"/>
              </w:rPr>
              <w:t>Závislost na dovozu léků, často ze zemí mimo Evropskou unii, představuje strategické i bezpečnostní riziko. Cílem je posílit soběstačnost ČR a EU ve výrobě léčivých přípravků.</w:t>
            </w:r>
          </w:p>
          <w:p w:rsidR="00E13108" w:rsidRPr="00923D98" w:rsidP="00D32DC2" w14:paraId="2C89C532" w14:textId="2ACB8FF7">
            <w:pPr>
              <w:rPr>
                <w:rFonts w:asciiTheme="minorHAnsi" w:hAnsiTheme="minorHAnsi" w:cstheme="minorHAnsi"/>
                <w:sz w:val="22"/>
                <w:szCs w:val="22"/>
              </w:rPr>
            </w:pPr>
            <w:r w:rsidRPr="00923D98">
              <w:rPr>
                <w:rFonts w:asciiTheme="minorHAnsi" w:hAnsiTheme="minorHAnsi" w:cstheme="minorHAnsi"/>
                <w:sz w:val="22"/>
                <w:szCs w:val="22"/>
              </w:rPr>
              <w:t>Rozšířením výrobních schopností tuzemského farmaceutického průmyslu a zkrácením lékových dodavatelských řetězců posílit odolnost zdravotnického systému. Poskytnout komplexní strategický rámec pro rozvoj farmaceutického výzkumu a výroby a zdravotnických technologií v České republice pro posílení průmyslu založeném na vysoké přidané hodnotě.</w:t>
            </w:r>
          </w:p>
          <w:p w:rsidR="00E13108" w:rsidRPr="00923D98" w:rsidP="00D32DC2" w14:paraId="7B2D16EE" w14:textId="14A68216">
            <w:pPr>
              <w:rPr>
                <w:rFonts w:asciiTheme="minorHAnsi" w:hAnsiTheme="minorHAnsi" w:cstheme="minorHAnsi"/>
                <w:sz w:val="22"/>
                <w:szCs w:val="22"/>
              </w:rPr>
            </w:pPr>
            <w:r w:rsidRPr="00923D98">
              <w:rPr>
                <w:rFonts w:asciiTheme="minorHAnsi" w:hAnsiTheme="minorHAnsi" w:cstheme="minorHAnsi"/>
                <w:sz w:val="22"/>
                <w:szCs w:val="22"/>
              </w:rPr>
              <w:t xml:space="preserve">Pro přilákání investic v oblasti farmaceutické výroby je nutné zlepšení podnikatelského prostředí a vytvoření příznivého regulatorního prostředí s nízkou administrativní zátěží. </w:t>
            </w:r>
            <w:r w:rsidRPr="00923D98" w:rsidR="000E105B">
              <w:rPr>
                <w:rFonts w:asciiTheme="minorHAnsi" w:hAnsiTheme="minorHAnsi" w:cstheme="minorHAnsi"/>
                <w:sz w:val="22"/>
                <w:szCs w:val="22"/>
              </w:rPr>
              <w:t xml:space="preserve">Dílčí cíl přispívá k posílení bezpečnosti země před vnějšími, </w:t>
            </w:r>
            <w:r w:rsidRPr="00923D98" w:rsidR="000E105B">
              <w:rPr>
                <w:rFonts w:asciiTheme="minorHAnsi" w:hAnsiTheme="minorHAnsi" w:cstheme="minorHAnsi"/>
                <w:sz w:val="22"/>
                <w:szCs w:val="22"/>
              </w:rPr>
              <w:t>vnitřními a hybridními hrozbami, posiluje inovační výkonnost ČR, ke zlepše</w:t>
            </w:r>
            <w:r w:rsidRPr="00923D98" w:rsidR="00F330C6">
              <w:rPr>
                <w:rFonts w:asciiTheme="minorHAnsi" w:hAnsiTheme="minorHAnsi" w:cstheme="minorHAnsi"/>
                <w:sz w:val="22"/>
                <w:szCs w:val="22"/>
              </w:rPr>
              <w:t>ní postavení českých firem a rozvinutí znalostní ekonomiky s důrazem na spolupráci firem a výzkumných institucí a zvýšení podílu high-tech průmyslu a znalostně náročných služeb na HDP.</w:t>
            </w:r>
          </w:p>
          <w:p w:rsidR="00E13108" w:rsidRPr="00923D98" w:rsidP="00D32DC2" w14:paraId="1287388E" w14:textId="1E65D0D3">
            <w:pPr>
              <w:rPr>
                <w:rFonts w:asciiTheme="minorHAnsi" w:hAnsiTheme="minorHAnsi" w:cstheme="minorHAnsi"/>
                <w:sz w:val="22"/>
                <w:szCs w:val="22"/>
              </w:rPr>
            </w:pPr>
          </w:p>
        </w:tc>
        <w:tc>
          <w:tcPr>
            <w:tcW w:w="1100" w:type="pct"/>
          </w:tcPr>
          <w:p w:rsidR="00E13108" w:rsidRPr="00923D98" w:rsidP="005348D2" w14:paraId="019DD2ED" w14:textId="1E57946F">
            <w:pPr>
              <w:rPr>
                <w:rFonts w:asciiTheme="minorHAnsi" w:hAnsiTheme="minorHAnsi" w:cstheme="minorHAnsi"/>
                <w:sz w:val="22"/>
                <w:szCs w:val="22"/>
              </w:rPr>
            </w:pPr>
            <w:r w:rsidRPr="00923D98">
              <w:rPr>
                <w:rFonts w:asciiTheme="minorHAnsi" w:hAnsiTheme="minorHAnsi" w:cstheme="minorHAnsi"/>
                <w:sz w:val="22"/>
                <w:szCs w:val="22"/>
              </w:rPr>
              <w:t>Zřídit pozice sektorových specialistů (na úrovni ministerských radů) dedikovaných pro oblasti farmacie, medicínské technologie a výroby léčivých přípravků</w:t>
            </w:r>
          </w:p>
        </w:tc>
        <w:tc>
          <w:tcPr>
            <w:tcW w:w="448" w:type="pct"/>
          </w:tcPr>
          <w:p w:rsidR="00E13108" w:rsidRPr="00923D98" w:rsidP="005348D2" w14:paraId="661CB0BE" w14:textId="60608360">
            <w:pPr>
              <w:rPr>
                <w:rFonts w:asciiTheme="minorHAnsi" w:hAnsiTheme="minorHAnsi" w:cstheme="minorHAnsi"/>
                <w:sz w:val="22"/>
                <w:szCs w:val="22"/>
              </w:rPr>
            </w:pPr>
            <w:r w:rsidRPr="00923D98">
              <w:rPr>
                <w:rFonts w:asciiTheme="minorHAnsi" w:hAnsiTheme="minorHAnsi" w:cstheme="minorHAnsi"/>
                <w:sz w:val="22"/>
                <w:szCs w:val="22"/>
              </w:rPr>
              <w:t>2026</w:t>
            </w:r>
          </w:p>
        </w:tc>
        <w:tc>
          <w:tcPr>
            <w:tcW w:w="429" w:type="pct"/>
          </w:tcPr>
          <w:p w:rsidR="00E13108" w:rsidRPr="00923D98" w:rsidP="005348D2" w14:paraId="4A830400" w14:textId="223AD929">
            <w:pPr>
              <w:rPr>
                <w:rFonts w:asciiTheme="minorHAnsi" w:hAnsiTheme="minorHAnsi" w:cstheme="minorHAnsi"/>
                <w:sz w:val="22"/>
                <w:szCs w:val="22"/>
              </w:rPr>
            </w:pPr>
            <w:r w:rsidRPr="00923D98">
              <w:rPr>
                <w:rFonts w:asciiTheme="minorHAnsi" w:hAnsiTheme="minorHAnsi" w:cstheme="minorHAnsi"/>
                <w:sz w:val="22"/>
                <w:szCs w:val="22"/>
              </w:rPr>
              <w:t>MZD (ST)</w:t>
            </w:r>
          </w:p>
        </w:tc>
        <w:tc>
          <w:tcPr>
            <w:tcW w:w="593" w:type="pct"/>
          </w:tcPr>
          <w:p w:rsidR="00E13108" w:rsidRPr="00923D98" w:rsidP="005348D2" w14:paraId="0F38F343" w14:textId="61CCCD8D">
            <w:pPr>
              <w:rPr>
                <w:rFonts w:asciiTheme="minorHAnsi" w:hAnsiTheme="minorHAnsi" w:cstheme="minorHAnsi"/>
                <w:sz w:val="22"/>
                <w:szCs w:val="22"/>
              </w:rPr>
            </w:pPr>
            <w:r w:rsidRPr="00923D98">
              <w:rPr>
                <w:rFonts w:asciiTheme="minorHAnsi" w:hAnsiTheme="minorHAnsi" w:cstheme="minorHAnsi"/>
                <w:sz w:val="22"/>
                <w:szCs w:val="22"/>
              </w:rPr>
              <w:t>MZD (SE-OLZP), MPO</w:t>
            </w:r>
          </w:p>
        </w:tc>
      </w:tr>
      <w:tr w14:paraId="4F59E2A0" w14:textId="77777777" w:rsidTr="00FF7BEB">
        <w:tblPrEx>
          <w:tblW w:w="5000" w:type="pct"/>
          <w:tblLook w:val="0600"/>
        </w:tblPrEx>
        <w:trPr>
          <w:trHeight w:val="225"/>
        </w:trPr>
        <w:tc>
          <w:tcPr>
            <w:tcW w:w="910" w:type="pct"/>
            <w:vMerge/>
          </w:tcPr>
          <w:p w:rsidR="00E13108" w:rsidRPr="00923D98" w:rsidP="005348D2" w14:paraId="213227E8" w14:textId="77777777">
            <w:pPr>
              <w:rPr>
                <w:rFonts w:asciiTheme="minorHAnsi" w:hAnsiTheme="minorHAnsi" w:cstheme="minorHAnsi"/>
                <w:b/>
                <w:sz w:val="22"/>
                <w:szCs w:val="22"/>
              </w:rPr>
            </w:pPr>
          </w:p>
        </w:tc>
        <w:tc>
          <w:tcPr>
            <w:tcW w:w="1520" w:type="pct"/>
            <w:vMerge/>
          </w:tcPr>
          <w:p w:rsidR="00E13108" w:rsidRPr="00923D98" w:rsidP="005348D2" w14:paraId="1C31B6C4" w14:textId="77777777">
            <w:pPr>
              <w:rPr>
                <w:rFonts w:asciiTheme="minorHAnsi" w:hAnsiTheme="minorHAnsi" w:cstheme="minorHAnsi"/>
                <w:sz w:val="22"/>
                <w:szCs w:val="22"/>
              </w:rPr>
            </w:pPr>
          </w:p>
        </w:tc>
        <w:tc>
          <w:tcPr>
            <w:tcW w:w="1100" w:type="pct"/>
          </w:tcPr>
          <w:p w:rsidR="00E13108" w:rsidRPr="00923D98" w:rsidP="005348D2" w14:paraId="3A3D3B9E" w14:textId="4EA9CC3E">
            <w:pPr>
              <w:rPr>
                <w:rFonts w:asciiTheme="minorHAnsi" w:hAnsiTheme="minorHAnsi" w:cstheme="minorHAnsi"/>
                <w:sz w:val="22"/>
                <w:szCs w:val="22"/>
              </w:rPr>
            </w:pPr>
            <w:r w:rsidRPr="00923D98">
              <w:rPr>
                <w:rFonts w:asciiTheme="minorHAnsi" w:hAnsiTheme="minorHAnsi" w:cstheme="minorHAnsi"/>
                <w:sz w:val="22"/>
                <w:szCs w:val="22"/>
              </w:rPr>
              <w:t>Zmapovat stávající i chybějící kompetence pro výzkum a vývoj léčiv i diagnostik, se zvláštním zaměřením na průmyslový výzkum, experimentální vývoj, velké výzkumné infrastruktury v medicíně a centra kompetencí na výzkumných a vzdělávacích institucích realizujících mj. vědecké projekty transferovatelné do průmyslových aplikací</w:t>
            </w:r>
          </w:p>
        </w:tc>
        <w:tc>
          <w:tcPr>
            <w:tcW w:w="448" w:type="pct"/>
          </w:tcPr>
          <w:p w:rsidR="00E13108" w:rsidRPr="00923D98" w:rsidP="005348D2" w14:paraId="5A250200" w14:textId="148A30F2">
            <w:pPr>
              <w:rPr>
                <w:rFonts w:asciiTheme="minorHAnsi" w:hAnsiTheme="minorHAnsi" w:cstheme="minorHAnsi"/>
                <w:sz w:val="22"/>
                <w:szCs w:val="22"/>
              </w:rPr>
            </w:pPr>
            <w:r w:rsidRPr="00923D98">
              <w:rPr>
                <w:rFonts w:asciiTheme="minorHAnsi" w:hAnsiTheme="minorHAnsi" w:cstheme="minorHAnsi"/>
                <w:sz w:val="22"/>
                <w:szCs w:val="22"/>
              </w:rPr>
              <w:t>2026</w:t>
            </w:r>
          </w:p>
        </w:tc>
        <w:tc>
          <w:tcPr>
            <w:tcW w:w="429" w:type="pct"/>
          </w:tcPr>
          <w:p w:rsidR="00E13108" w:rsidRPr="00923D98" w:rsidP="005348D2" w14:paraId="58CA9F87" w14:textId="79077CED">
            <w:pPr>
              <w:rPr>
                <w:rFonts w:asciiTheme="minorHAnsi" w:hAnsiTheme="minorHAnsi" w:cstheme="minorHAnsi"/>
                <w:sz w:val="22"/>
                <w:szCs w:val="22"/>
              </w:rPr>
            </w:pPr>
            <w:r w:rsidRPr="00923D98">
              <w:rPr>
                <w:rFonts w:asciiTheme="minorHAnsi" w:hAnsiTheme="minorHAnsi" w:cstheme="minorHAnsi"/>
                <w:sz w:val="22"/>
                <w:szCs w:val="22"/>
              </w:rPr>
              <w:t>MZD (SE)</w:t>
            </w:r>
          </w:p>
        </w:tc>
        <w:tc>
          <w:tcPr>
            <w:tcW w:w="593" w:type="pct"/>
          </w:tcPr>
          <w:p w:rsidR="00E13108" w:rsidRPr="00923D98" w:rsidP="005348D2" w14:paraId="7056DC9A" w14:textId="6EC86B89">
            <w:pPr>
              <w:rPr>
                <w:rFonts w:asciiTheme="minorHAnsi" w:hAnsiTheme="minorHAnsi" w:cstheme="minorHAnsi"/>
                <w:sz w:val="22"/>
                <w:szCs w:val="22"/>
              </w:rPr>
            </w:pPr>
            <w:r w:rsidRPr="00923D98">
              <w:rPr>
                <w:rFonts w:asciiTheme="minorHAnsi" w:hAnsiTheme="minorHAnsi" w:cstheme="minorHAnsi"/>
                <w:sz w:val="22"/>
                <w:szCs w:val="22"/>
              </w:rPr>
              <w:t>MZD (SZ-VVD), SÚKL, MPO, MVVI, RVVI, TAČR, MŠMT, MF, ÚOHS</w:t>
            </w:r>
          </w:p>
        </w:tc>
      </w:tr>
      <w:tr w14:paraId="0E6EB9E4" w14:textId="77777777" w:rsidTr="00FF7BEB">
        <w:tblPrEx>
          <w:tblW w:w="5000" w:type="pct"/>
          <w:tblLook w:val="0600"/>
        </w:tblPrEx>
        <w:trPr>
          <w:trHeight w:val="225"/>
        </w:trPr>
        <w:tc>
          <w:tcPr>
            <w:tcW w:w="910" w:type="pct"/>
            <w:vMerge/>
          </w:tcPr>
          <w:p w:rsidR="00E13108" w:rsidRPr="00923D98" w:rsidP="005348D2" w14:paraId="76E68F3F" w14:textId="77777777">
            <w:pPr>
              <w:rPr>
                <w:rFonts w:asciiTheme="minorHAnsi" w:hAnsiTheme="minorHAnsi" w:cstheme="minorHAnsi"/>
                <w:b/>
                <w:sz w:val="22"/>
                <w:szCs w:val="22"/>
              </w:rPr>
            </w:pPr>
          </w:p>
        </w:tc>
        <w:tc>
          <w:tcPr>
            <w:tcW w:w="1520" w:type="pct"/>
            <w:vMerge/>
          </w:tcPr>
          <w:p w:rsidR="00E13108" w:rsidRPr="00923D98" w:rsidP="005348D2" w14:paraId="06125A34" w14:textId="77777777">
            <w:pPr>
              <w:rPr>
                <w:rFonts w:asciiTheme="minorHAnsi" w:hAnsiTheme="minorHAnsi" w:cstheme="minorHAnsi"/>
                <w:sz w:val="22"/>
                <w:szCs w:val="22"/>
              </w:rPr>
            </w:pPr>
          </w:p>
        </w:tc>
        <w:tc>
          <w:tcPr>
            <w:tcW w:w="1100" w:type="pct"/>
          </w:tcPr>
          <w:p w:rsidR="00E13108" w:rsidRPr="00923D98" w:rsidP="005348D2" w14:paraId="091B292D" w14:textId="30BA4D19">
            <w:pPr>
              <w:rPr>
                <w:rFonts w:asciiTheme="minorHAnsi" w:hAnsiTheme="minorHAnsi" w:cstheme="minorHAnsi"/>
                <w:sz w:val="22"/>
                <w:szCs w:val="22"/>
              </w:rPr>
            </w:pPr>
            <w:r w:rsidRPr="00923D98">
              <w:rPr>
                <w:rFonts w:asciiTheme="minorHAnsi" w:hAnsiTheme="minorHAnsi" w:cstheme="minorHAnsi"/>
                <w:sz w:val="22"/>
                <w:szCs w:val="22"/>
              </w:rPr>
              <w:t>Zpracovat Národní plán pro farmaceutický průmysl analyzující stav sektoru v ČR a jeho potřeby, a navrhující opatření pro jeho rozvoj</w:t>
            </w:r>
          </w:p>
        </w:tc>
        <w:tc>
          <w:tcPr>
            <w:tcW w:w="448" w:type="pct"/>
          </w:tcPr>
          <w:p w:rsidR="00E13108" w:rsidRPr="00923D98" w:rsidP="005348D2" w14:paraId="7207643C" w14:textId="11C805CC">
            <w:pPr>
              <w:rPr>
                <w:rFonts w:asciiTheme="minorHAnsi" w:hAnsiTheme="minorHAnsi" w:cstheme="minorHAnsi"/>
                <w:sz w:val="22"/>
                <w:szCs w:val="22"/>
              </w:rPr>
            </w:pPr>
            <w:r w:rsidRPr="00923D98">
              <w:rPr>
                <w:rFonts w:asciiTheme="minorHAnsi" w:hAnsiTheme="minorHAnsi" w:cstheme="minorHAnsi"/>
                <w:sz w:val="22"/>
                <w:szCs w:val="22"/>
              </w:rPr>
              <w:t>2027</w:t>
            </w:r>
          </w:p>
        </w:tc>
        <w:tc>
          <w:tcPr>
            <w:tcW w:w="429" w:type="pct"/>
          </w:tcPr>
          <w:p w:rsidR="00E13108" w:rsidRPr="00923D98" w:rsidP="005348D2" w14:paraId="209D372D" w14:textId="0A100AF1">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E13108" w:rsidRPr="00923D98" w:rsidP="005348D2" w14:paraId="4A5A8A0C" w14:textId="29D06A16">
            <w:pPr>
              <w:rPr>
                <w:rFonts w:asciiTheme="minorHAnsi" w:hAnsiTheme="minorHAnsi" w:cstheme="minorHAnsi"/>
                <w:sz w:val="22"/>
                <w:szCs w:val="22"/>
              </w:rPr>
            </w:pPr>
            <w:r w:rsidRPr="00923D98">
              <w:rPr>
                <w:rFonts w:asciiTheme="minorHAnsi" w:hAnsiTheme="minorHAnsi" w:cstheme="minorHAnsi"/>
                <w:sz w:val="22"/>
                <w:szCs w:val="22"/>
              </w:rPr>
              <w:t>SÚKL, MPO, MVVI, RVVI, TAČR, MŠMT, MF, ÚOHS</w:t>
            </w:r>
          </w:p>
        </w:tc>
      </w:tr>
      <w:tr w14:paraId="22BCB3BC" w14:textId="40E37235" w:rsidTr="00FF7BEB">
        <w:tblPrEx>
          <w:tblW w:w="5000" w:type="pct"/>
          <w:tblLook w:val="0600"/>
        </w:tblPrEx>
        <w:trPr>
          <w:trHeight w:val="225"/>
        </w:trPr>
        <w:tc>
          <w:tcPr>
            <w:tcW w:w="910" w:type="pct"/>
            <w:vMerge/>
          </w:tcPr>
          <w:p w:rsidR="00E13108" w:rsidRPr="00923D98" w:rsidP="005348D2" w14:paraId="7E7B64C6" w14:textId="77777777">
            <w:pPr>
              <w:rPr>
                <w:rFonts w:asciiTheme="minorHAnsi" w:hAnsiTheme="minorHAnsi" w:cstheme="minorHAnsi"/>
                <w:b/>
                <w:sz w:val="22"/>
                <w:szCs w:val="22"/>
              </w:rPr>
            </w:pPr>
          </w:p>
        </w:tc>
        <w:tc>
          <w:tcPr>
            <w:tcW w:w="1520" w:type="pct"/>
            <w:vMerge/>
          </w:tcPr>
          <w:p w:rsidR="00E13108" w:rsidRPr="00923D98" w:rsidP="005348D2" w14:paraId="2E2310D5" w14:textId="0325DC1B">
            <w:pPr>
              <w:rPr>
                <w:rFonts w:asciiTheme="minorHAnsi" w:hAnsiTheme="minorHAnsi" w:cstheme="minorHAnsi"/>
                <w:sz w:val="22"/>
                <w:szCs w:val="22"/>
              </w:rPr>
            </w:pPr>
          </w:p>
        </w:tc>
        <w:tc>
          <w:tcPr>
            <w:tcW w:w="1100" w:type="pct"/>
          </w:tcPr>
          <w:p w:rsidR="00E13108" w:rsidRPr="00923D98" w:rsidP="005348D2" w14:paraId="5ED5F7D0" w14:textId="63178735">
            <w:pPr>
              <w:rPr>
                <w:rFonts w:asciiTheme="minorHAnsi" w:hAnsiTheme="minorHAnsi" w:cstheme="minorHAnsi"/>
                <w:sz w:val="22"/>
                <w:szCs w:val="22"/>
              </w:rPr>
            </w:pPr>
            <w:r w:rsidRPr="00923D98">
              <w:rPr>
                <w:rFonts w:asciiTheme="minorHAnsi" w:hAnsiTheme="minorHAnsi" w:cstheme="minorHAnsi"/>
                <w:sz w:val="22"/>
                <w:szCs w:val="22"/>
              </w:rPr>
              <w:t xml:space="preserve">Připravit projekt v rámci výzvy Technologické platformy II, jehož primárním cílem bude zpracování akčního plánu pro implementaci směrnice Evropského parlamentu a Rady (EU) 2024/3019 ze dne 27. listopadu 2024 o čištění městských odpadních vod (přepracované znění) (UWWTD) v ČR. Součástí tohoto projektu dojde ke zpracování výrobní mapy farmaceutického průmyslu v ČR. Na základě výše uvedeného bude možné činit informovaná rozhodnutí o cílené podpoře výroby konkrétních léčivých přípravků, která </w:t>
            </w:r>
            <w:r w:rsidRPr="00923D98">
              <w:rPr>
                <w:rFonts w:asciiTheme="minorHAnsi" w:hAnsiTheme="minorHAnsi" w:cstheme="minorHAnsi"/>
                <w:sz w:val="22"/>
                <w:szCs w:val="22"/>
              </w:rPr>
              <w:t>sníží</w:t>
            </w:r>
            <w:r w:rsidRPr="00923D98">
              <w:rPr>
                <w:rFonts w:asciiTheme="minorHAnsi" w:hAnsiTheme="minorHAnsi" w:cstheme="minorHAnsi"/>
                <w:sz w:val="22"/>
                <w:szCs w:val="22"/>
              </w:rPr>
              <w:t xml:space="preserve"> strategickou závislost a zranitelnost ČR a EU</w:t>
            </w:r>
          </w:p>
        </w:tc>
        <w:tc>
          <w:tcPr>
            <w:tcW w:w="448" w:type="pct"/>
          </w:tcPr>
          <w:p w:rsidR="00E13108" w:rsidRPr="00923D98" w:rsidP="005348D2" w14:paraId="266505C2" w14:textId="0B4BFE25">
            <w:pPr>
              <w:rPr>
                <w:rFonts w:asciiTheme="minorHAnsi" w:hAnsiTheme="minorHAnsi" w:cstheme="minorHAnsi"/>
                <w:sz w:val="22"/>
                <w:szCs w:val="22"/>
              </w:rPr>
            </w:pPr>
            <w:r w:rsidRPr="00923D98">
              <w:rPr>
                <w:rFonts w:asciiTheme="minorHAnsi" w:hAnsiTheme="minorHAnsi" w:cstheme="minorHAnsi"/>
                <w:sz w:val="22"/>
                <w:szCs w:val="22"/>
              </w:rPr>
              <w:t>2026</w:t>
            </w:r>
          </w:p>
        </w:tc>
        <w:tc>
          <w:tcPr>
            <w:tcW w:w="429" w:type="pct"/>
          </w:tcPr>
          <w:p w:rsidR="00E13108" w:rsidRPr="00923D98" w:rsidP="005348D2" w14:paraId="0C9AB680" w14:textId="7BEBCEA2">
            <w:pPr>
              <w:rPr>
                <w:rFonts w:asciiTheme="minorHAnsi" w:hAnsiTheme="minorHAnsi" w:cstheme="minorHAnsi"/>
                <w:sz w:val="22"/>
                <w:szCs w:val="22"/>
              </w:rPr>
            </w:pPr>
            <w:r w:rsidRPr="00923D98">
              <w:rPr>
                <w:rFonts w:asciiTheme="minorHAnsi" w:hAnsiTheme="minorHAnsi" w:cstheme="minorHAnsi"/>
                <w:sz w:val="22"/>
                <w:szCs w:val="22"/>
              </w:rPr>
              <w:t>MZD (SE)</w:t>
            </w:r>
          </w:p>
        </w:tc>
        <w:tc>
          <w:tcPr>
            <w:tcW w:w="593" w:type="pct"/>
          </w:tcPr>
          <w:p w:rsidR="00E13108" w:rsidRPr="00923D98" w:rsidP="005348D2" w14:paraId="265809DE" w14:textId="770A46F0">
            <w:pPr>
              <w:rPr>
                <w:rFonts w:asciiTheme="minorHAnsi" w:hAnsiTheme="minorHAnsi" w:cstheme="minorHAnsi"/>
                <w:sz w:val="22"/>
                <w:szCs w:val="22"/>
              </w:rPr>
            </w:pPr>
            <w:r w:rsidRPr="00923D98">
              <w:rPr>
                <w:rFonts w:asciiTheme="minorHAnsi" w:hAnsiTheme="minorHAnsi" w:cstheme="minorHAnsi"/>
                <w:sz w:val="22"/>
                <w:szCs w:val="22"/>
              </w:rPr>
              <w:t>MPO, SÚKL, MVVI, RVVI, TAČR, MŠMT, MF, ÚOHS</w:t>
            </w:r>
          </w:p>
        </w:tc>
      </w:tr>
      <w:tr w14:paraId="53577501" w14:textId="72EC11FC" w:rsidTr="00FF7BEB">
        <w:tblPrEx>
          <w:tblW w:w="5000" w:type="pct"/>
          <w:tblLook w:val="0600"/>
        </w:tblPrEx>
        <w:trPr>
          <w:trHeight w:val="225"/>
        </w:trPr>
        <w:tc>
          <w:tcPr>
            <w:tcW w:w="910" w:type="pct"/>
            <w:vMerge/>
          </w:tcPr>
          <w:p w:rsidR="00E13108" w:rsidRPr="00923D98" w:rsidP="005348D2" w14:paraId="3C47E640" w14:textId="77777777">
            <w:pPr>
              <w:rPr>
                <w:rFonts w:asciiTheme="minorHAnsi" w:hAnsiTheme="minorHAnsi" w:cstheme="minorHAnsi"/>
                <w:b/>
                <w:sz w:val="22"/>
                <w:szCs w:val="22"/>
              </w:rPr>
            </w:pPr>
          </w:p>
        </w:tc>
        <w:tc>
          <w:tcPr>
            <w:tcW w:w="1520" w:type="pct"/>
            <w:vMerge/>
          </w:tcPr>
          <w:p w:rsidR="00E13108" w:rsidRPr="00923D98" w:rsidP="005348D2" w14:paraId="2C52F27E" w14:textId="77777777">
            <w:pPr>
              <w:rPr>
                <w:rFonts w:asciiTheme="minorHAnsi" w:hAnsiTheme="minorHAnsi" w:cstheme="minorHAnsi"/>
                <w:sz w:val="22"/>
                <w:szCs w:val="22"/>
              </w:rPr>
            </w:pPr>
          </w:p>
        </w:tc>
        <w:tc>
          <w:tcPr>
            <w:tcW w:w="1100" w:type="pct"/>
          </w:tcPr>
          <w:p w:rsidR="00E13108" w:rsidRPr="00923D98" w:rsidP="005348D2" w14:paraId="2D58EC82" w14:textId="7F20AB8F">
            <w:pPr>
              <w:rPr>
                <w:rFonts w:asciiTheme="minorHAnsi" w:hAnsiTheme="minorHAnsi" w:cstheme="minorHAnsi"/>
                <w:sz w:val="22"/>
                <w:szCs w:val="22"/>
              </w:rPr>
            </w:pPr>
            <w:r w:rsidRPr="00923D98">
              <w:rPr>
                <w:rFonts w:asciiTheme="minorHAnsi" w:hAnsiTheme="minorHAnsi" w:cstheme="minorHAnsi"/>
                <w:sz w:val="22"/>
                <w:szCs w:val="22"/>
              </w:rPr>
              <w:t xml:space="preserve">Příprava na implementaci nařízení o kriticky důležitých léčivech (Critical Medicines Act) </w:t>
            </w:r>
            <w:r w:rsidRPr="00923D98">
              <w:rPr>
                <w:rFonts w:asciiTheme="minorHAnsi" w:hAnsiTheme="minorHAnsi" w:cstheme="minorHAnsi"/>
                <w:sz w:val="22"/>
                <w:szCs w:val="22"/>
              </w:rPr>
              <w:t>pro posílení konkurenceschopnosti projektů tuzemských výrobců ucházet se včas o finanční a regulatorní podporu strategickým projektům posilujícím soběstačnost EU (2026);zavedení investiční pobídky (dotačního programu) pro podporu výroby léčivých přípravků a podpora vybraných strategických projektů odpovídajících konceptům návrhu Critical Medicines Act i za předpokladu potřebné notifikace veřejné podpory u Evropské komise</w:t>
            </w:r>
          </w:p>
        </w:tc>
        <w:tc>
          <w:tcPr>
            <w:tcW w:w="448" w:type="pct"/>
          </w:tcPr>
          <w:p w:rsidR="00E13108" w:rsidRPr="00923D98" w:rsidP="005348D2" w14:paraId="1F2E2DF7" w14:textId="16B9FBEE">
            <w:pPr>
              <w:rPr>
                <w:rFonts w:asciiTheme="minorHAnsi" w:hAnsiTheme="minorHAnsi" w:cstheme="minorHAnsi"/>
                <w:sz w:val="22"/>
                <w:szCs w:val="22"/>
              </w:rPr>
            </w:pPr>
            <w:r w:rsidRPr="00923D98">
              <w:rPr>
                <w:rFonts w:asciiTheme="minorHAnsi" w:hAnsiTheme="minorHAnsi" w:cstheme="minorHAnsi"/>
                <w:sz w:val="22"/>
                <w:szCs w:val="22"/>
              </w:rPr>
              <w:t>2027</w:t>
            </w:r>
          </w:p>
        </w:tc>
        <w:tc>
          <w:tcPr>
            <w:tcW w:w="429" w:type="pct"/>
          </w:tcPr>
          <w:p w:rsidR="00E13108" w:rsidRPr="00923D98" w:rsidP="005348D2" w14:paraId="49A63080" w14:textId="70BD23AC">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E13108" w:rsidRPr="00923D98" w:rsidP="005348D2" w14:paraId="0C45AE5E" w14:textId="6B6833A6">
            <w:pPr>
              <w:rPr>
                <w:rFonts w:asciiTheme="minorHAnsi" w:hAnsiTheme="minorHAnsi" w:cstheme="minorHAnsi"/>
                <w:sz w:val="22"/>
                <w:szCs w:val="22"/>
              </w:rPr>
            </w:pPr>
            <w:r w:rsidRPr="00923D98">
              <w:rPr>
                <w:rFonts w:asciiTheme="minorHAnsi" w:hAnsiTheme="minorHAnsi" w:cstheme="minorHAnsi"/>
                <w:sz w:val="22"/>
                <w:szCs w:val="22"/>
              </w:rPr>
              <w:t xml:space="preserve">MZD (SL), MPO, SÚKL, MVVI, RVVI, TAČR, </w:t>
            </w:r>
            <w:r w:rsidRPr="00923D98">
              <w:rPr>
                <w:rFonts w:asciiTheme="minorHAnsi" w:hAnsiTheme="minorHAnsi" w:cstheme="minorHAnsi"/>
                <w:sz w:val="22"/>
                <w:szCs w:val="22"/>
              </w:rPr>
              <w:t>MŠMT, MF, ÚOHS</w:t>
            </w:r>
          </w:p>
        </w:tc>
      </w:tr>
      <w:tr w14:paraId="06AEB6B5" w14:textId="77777777" w:rsidTr="00FF7BEB">
        <w:tblPrEx>
          <w:tblW w:w="5000" w:type="pct"/>
          <w:tblLook w:val="0600"/>
        </w:tblPrEx>
        <w:trPr>
          <w:trHeight w:val="225"/>
        </w:trPr>
        <w:tc>
          <w:tcPr>
            <w:tcW w:w="910" w:type="pct"/>
          </w:tcPr>
          <w:p w:rsidR="005348D2" w:rsidRPr="00923D98" w:rsidP="005348D2" w14:paraId="7921E1B3" w14:textId="568A5B8F">
            <w:pPr>
              <w:rPr>
                <w:rFonts w:asciiTheme="minorHAnsi" w:hAnsiTheme="minorHAnsi" w:cstheme="minorHAnsi"/>
                <w:b/>
                <w:sz w:val="22"/>
                <w:szCs w:val="22"/>
              </w:rPr>
            </w:pPr>
            <w:r w:rsidRPr="00923D98">
              <w:rPr>
                <w:rFonts w:asciiTheme="minorHAnsi" w:hAnsiTheme="minorHAnsi" w:cstheme="minorHAnsi"/>
                <w:b/>
                <w:sz w:val="22"/>
                <w:szCs w:val="22"/>
              </w:rPr>
              <w:t>1.3.6 Stabilizovat finanční udržitelnost lékové politiky</w:t>
            </w:r>
          </w:p>
        </w:tc>
        <w:tc>
          <w:tcPr>
            <w:tcW w:w="1520" w:type="pct"/>
          </w:tcPr>
          <w:p w:rsidR="005348D2" w:rsidRPr="00923D98" w:rsidP="005348D2" w14:paraId="23DC8212" w14:textId="2B9827D1">
            <w:pPr>
              <w:rPr>
                <w:rFonts w:asciiTheme="minorHAnsi" w:hAnsiTheme="minorHAnsi" w:cstheme="minorHAnsi"/>
                <w:sz w:val="22"/>
                <w:szCs w:val="22"/>
              </w:rPr>
            </w:pPr>
            <w:r w:rsidRPr="00923D98">
              <w:rPr>
                <w:rFonts w:asciiTheme="minorHAnsi" w:hAnsiTheme="minorHAnsi" w:cstheme="minorHAnsi"/>
                <w:sz w:val="22"/>
                <w:szCs w:val="22"/>
              </w:rPr>
              <w:t>Prostředky zdravotního pojištění tak bude možné efektivněji využít pro úhradu nově vstupujících léčiv nebo léčbu většího počtu pacientů. Využití potenciálu vstupu generik je důležité nejen z důvodu úspor, ale i z hlediska snižování vnější závislosti, neboť v ČR jsou vyráběny pouze generické léčivé přípravky a může tak dojít k podpoře domácího farmaceutického průmyslu.</w:t>
            </w:r>
          </w:p>
        </w:tc>
        <w:tc>
          <w:tcPr>
            <w:tcW w:w="1100" w:type="pct"/>
          </w:tcPr>
          <w:p w:rsidR="005348D2" w:rsidRPr="00923D98" w:rsidP="005348D2" w14:paraId="5D76B1B2" w14:textId="28975127">
            <w:pPr>
              <w:rPr>
                <w:rFonts w:asciiTheme="minorHAnsi" w:hAnsiTheme="minorHAnsi" w:cstheme="minorHAnsi"/>
                <w:sz w:val="22"/>
                <w:szCs w:val="22"/>
              </w:rPr>
            </w:pPr>
            <w:r w:rsidRPr="00923D98">
              <w:rPr>
                <w:rFonts w:asciiTheme="minorHAnsi" w:hAnsiTheme="minorHAnsi" w:cstheme="minorHAnsi"/>
                <w:sz w:val="22"/>
                <w:szCs w:val="22"/>
              </w:rPr>
              <w:t>Zajistit hladký vstup generických přípravků na český trh za rovných podmínek, které budou generovat úspory prostředků zdravotního pojištění i pacientů.</w:t>
            </w:r>
          </w:p>
        </w:tc>
        <w:tc>
          <w:tcPr>
            <w:tcW w:w="448" w:type="pct"/>
          </w:tcPr>
          <w:p w:rsidR="005348D2" w:rsidRPr="00923D98" w:rsidP="005348D2" w14:paraId="2D8BEC9B" w14:textId="7EDB25FD">
            <w:pPr>
              <w:rPr>
                <w:rFonts w:asciiTheme="minorHAnsi" w:hAnsiTheme="minorHAnsi" w:cstheme="minorHAnsi"/>
                <w:sz w:val="22"/>
                <w:szCs w:val="22"/>
              </w:rPr>
            </w:pPr>
            <w:r w:rsidRPr="00923D98">
              <w:rPr>
                <w:rFonts w:asciiTheme="minorHAnsi" w:hAnsiTheme="minorHAnsi" w:cstheme="minorHAnsi"/>
                <w:sz w:val="22"/>
                <w:szCs w:val="22"/>
              </w:rPr>
              <w:t>2027-2028</w:t>
            </w:r>
          </w:p>
        </w:tc>
        <w:tc>
          <w:tcPr>
            <w:tcW w:w="429" w:type="pct"/>
          </w:tcPr>
          <w:p w:rsidR="005348D2" w:rsidRPr="00923D98" w:rsidP="005348D2" w14:paraId="6C00C235" w14:textId="082A9DCB">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5348D2" w:rsidRPr="00923D98" w:rsidP="005348D2" w14:paraId="74276B87" w14:textId="4BC2DCA7">
            <w:pPr>
              <w:rPr>
                <w:rFonts w:asciiTheme="minorHAnsi" w:hAnsiTheme="minorHAnsi" w:cstheme="minorHAnsi"/>
                <w:sz w:val="22"/>
                <w:szCs w:val="22"/>
              </w:rPr>
            </w:pPr>
            <w:r w:rsidRPr="00923D98">
              <w:rPr>
                <w:rFonts w:asciiTheme="minorHAnsi" w:hAnsiTheme="minorHAnsi" w:cstheme="minorHAnsi"/>
                <w:sz w:val="22"/>
                <w:szCs w:val="22"/>
              </w:rPr>
              <w:t>MZD (SL), SÚKL, SZP, VZP</w:t>
            </w:r>
          </w:p>
        </w:tc>
      </w:tr>
      <w:tr w14:paraId="2D8A71B0" w14:textId="77777777" w:rsidTr="00FF7BEB">
        <w:tblPrEx>
          <w:tblW w:w="5000" w:type="pct"/>
          <w:tblLook w:val="0600"/>
        </w:tblPrEx>
        <w:trPr>
          <w:trHeight w:val="225"/>
        </w:trPr>
        <w:tc>
          <w:tcPr>
            <w:tcW w:w="910" w:type="pct"/>
          </w:tcPr>
          <w:p w:rsidR="00473144" w:rsidRPr="00923D98" w:rsidP="00473144" w14:paraId="400EF8E5" w14:textId="77777777">
            <w:pPr>
              <w:rPr>
                <w:rFonts w:asciiTheme="minorHAnsi" w:hAnsiTheme="minorHAnsi" w:cstheme="minorHAnsi"/>
                <w:b/>
                <w:color w:val="FF0000"/>
                <w:sz w:val="22"/>
                <w:szCs w:val="22"/>
              </w:rPr>
            </w:pPr>
          </w:p>
        </w:tc>
        <w:tc>
          <w:tcPr>
            <w:tcW w:w="1520" w:type="pct"/>
          </w:tcPr>
          <w:p w:rsidR="00473144" w:rsidRPr="00923D98" w:rsidP="00473144" w14:paraId="196F4EF2" w14:textId="6C0B4E88">
            <w:pPr>
              <w:rPr>
                <w:rFonts w:asciiTheme="minorHAnsi" w:hAnsiTheme="minorHAnsi" w:cstheme="minorHAnsi"/>
                <w:sz w:val="22"/>
                <w:szCs w:val="22"/>
              </w:rPr>
            </w:pPr>
            <w:r w:rsidRPr="00923D98">
              <w:rPr>
                <w:rFonts w:asciiTheme="minorHAnsi" w:hAnsiTheme="minorHAnsi" w:cstheme="minorHAnsi"/>
                <w:sz w:val="22"/>
                <w:szCs w:val="22"/>
              </w:rPr>
              <w:t>Druhá část realizace cíle bude mířit na změny v oblasti cenové regulace, s ohledem na vývoj cen vstupů výroby a určité zacyklenosti systému vnějších cenových referencích používaných kromě České republiky i v řadě další členských států EU. Další rozšíření způsobů cenové regulace by mělo umožnit reagovat na vývoj v oblasti výroby a dodávek léčiv tak, aby byla zachována dostupnost zavedených léčiv. Nejenom vstup inovací, ale i cenová a úhradová dostupnost zavedených léčiv, která mnohdy představují základ léčby řady onemocnění, je zásadní pro zajištění náležité zdravotní péče o pacienty v ČR.</w:t>
            </w:r>
          </w:p>
        </w:tc>
        <w:tc>
          <w:tcPr>
            <w:tcW w:w="1100" w:type="pct"/>
          </w:tcPr>
          <w:p w:rsidR="00473144" w:rsidRPr="00923D98" w:rsidP="00473144" w14:paraId="5E346704" w14:textId="5DFA7B4E">
            <w:pPr>
              <w:rPr>
                <w:rFonts w:asciiTheme="minorHAnsi" w:hAnsiTheme="minorHAnsi" w:cstheme="minorHAnsi"/>
                <w:sz w:val="22"/>
                <w:szCs w:val="22"/>
              </w:rPr>
            </w:pPr>
            <w:r w:rsidRPr="00923D98">
              <w:rPr>
                <w:rFonts w:asciiTheme="minorHAnsi" w:hAnsiTheme="minorHAnsi" w:cstheme="minorHAnsi"/>
                <w:sz w:val="22"/>
                <w:szCs w:val="22"/>
              </w:rPr>
              <w:t>Přehodnocení stávajícího systému vycházejícího z vnějších cenových referencí</w:t>
            </w:r>
          </w:p>
        </w:tc>
        <w:tc>
          <w:tcPr>
            <w:tcW w:w="448" w:type="pct"/>
          </w:tcPr>
          <w:p w:rsidR="00473144" w:rsidRPr="00923D98" w:rsidP="00473144" w14:paraId="1B60DAC6" w14:textId="3115DED6">
            <w:pPr>
              <w:rPr>
                <w:rFonts w:asciiTheme="minorHAnsi" w:hAnsiTheme="minorHAnsi" w:cstheme="minorHAnsi"/>
                <w:sz w:val="22"/>
                <w:szCs w:val="22"/>
              </w:rPr>
            </w:pPr>
            <w:r w:rsidRPr="00923D98">
              <w:rPr>
                <w:rFonts w:asciiTheme="minorHAnsi" w:hAnsiTheme="minorHAnsi" w:cstheme="minorHAnsi"/>
                <w:sz w:val="22"/>
                <w:szCs w:val="22"/>
              </w:rPr>
              <w:t>2027-2028</w:t>
            </w:r>
          </w:p>
        </w:tc>
        <w:tc>
          <w:tcPr>
            <w:tcW w:w="429" w:type="pct"/>
          </w:tcPr>
          <w:p w:rsidR="00473144" w:rsidRPr="00923D98" w:rsidP="00473144" w14:paraId="6DB59AFE" w14:textId="2F1286A5">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473144" w:rsidRPr="00923D98" w:rsidP="00473144" w14:paraId="6B0803E6" w14:textId="74C425AE">
            <w:pPr>
              <w:rPr>
                <w:rFonts w:asciiTheme="minorHAnsi" w:hAnsiTheme="minorHAnsi" w:cstheme="minorHAnsi"/>
                <w:sz w:val="22"/>
                <w:szCs w:val="22"/>
              </w:rPr>
            </w:pPr>
            <w:r w:rsidRPr="00923D98">
              <w:rPr>
                <w:rFonts w:asciiTheme="minorHAnsi" w:hAnsiTheme="minorHAnsi" w:cstheme="minorHAnsi"/>
                <w:sz w:val="22"/>
                <w:szCs w:val="22"/>
              </w:rPr>
              <w:t>MZD (SL), SÚKL, SZP, VZP</w:t>
            </w:r>
          </w:p>
        </w:tc>
      </w:tr>
      <w:tr w14:paraId="24A0F8C5" w14:textId="77777777" w:rsidTr="00FF7BEB">
        <w:tblPrEx>
          <w:tblW w:w="5000" w:type="pct"/>
          <w:tblLook w:val="0600"/>
        </w:tblPrEx>
        <w:trPr>
          <w:trHeight w:val="225"/>
        </w:trPr>
        <w:tc>
          <w:tcPr>
            <w:tcW w:w="910" w:type="pct"/>
          </w:tcPr>
          <w:p w:rsidR="005348D2" w:rsidRPr="00923D98" w:rsidP="005348D2" w14:paraId="37DA3D48" w14:textId="3074C01B">
            <w:pPr>
              <w:rPr>
                <w:rFonts w:asciiTheme="minorHAnsi" w:hAnsiTheme="minorHAnsi" w:cstheme="minorHAnsi"/>
                <w:b/>
                <w:sz w:val="22"/>
                <w:szCs w:val="22"/>
              </w:rPr>
            </w:pPr>
            <w:r w:rsidRPr="00923D98">
              <w:rPr>
                <w:rFonts w:asciiTheme="minorHAnsi" w:hAnsiTheme="minorHAnsi" w:cstheme="minorHAnsi"/>
                <w:b/>
                <w:sz w:val="22"/>
                <w:szCs w:val="22"/>
              </w:rPr>
              <w:t>1.3.7 Zajistit rozvoj kapacit správních úřadů v oblasti lékové politiky státu</w:t>
            </w:r>
          </w:p>
        </w:tc>
        <w:tc>
          <w:tcPr>
            <w:tcW w:w="1520" w:type="pct"/>
          </w:tcPr>
          <w:p w:rsidR="005348D2" w:rsidRPr="00923D98" w:rsidP="005348D2" w14:paraId="4A6DD576" w14:textId="73AE7006">
            <w:pPr>
              <w:rPr>
                <w:rFonts w:asciiTheme="minorHAnsi" w:hAnsiTheme="minorHAnsi" w:cstheme="minorHAnsi"/>
                <w:sz w:val="22"/>
                <w:szCs w:val="22"/>
              </w:rPr>
            </w:pPr>
            <w:r w:rsidRPr="00923D98">
              <w:rPr>
                <w:rFonts w:asciiTheme="minorHAnsi" w:hAnsiTheme="minorHAnsi" w:cstheme="minorHAnsi"/>
                <w:sz w:val="22"/>
                <w:szCs w:val="22"/>
              </w:rPr>
              <w:t>Chystaná míra EU regulace vyžaduje razantní modernizaci lidského kapitálu SÚKL i příslušných útvarů MZD – stávající kapacity nejsou na balík změn dostačující, a to i s ohledem na potřeby pozic specialistů v oblasti lékové politiky, zejména oblasti HTA, Horizon scanning apod.</w:t>
            </w:r>
          </w:p>
        </w:tc>
        <w:tc>
          <w:tcPr>
            <w:tcW w:w="1100" w:type="pct"/>
          </w:tcPr>
          <w:p w:rsidR="005348D2" w:rsidRPr="00923D98" w:rsidP="005348D2" w14:paraId="72A2F5B1" w14:textId="2C5CB8B8">
            <w:pPr>
              <w:rPr>
                <w:rFonts w:asciiTheme="minorHAnsi" w:hAnsiTheme="minorHAnsi" w:cstheme="minorHAnsi"/>
                <w:sz w:val="22"/>
                <w:szCs w:val="22"/>
              </w:rPr>
            </w:pPr>
            <w:r w:rsidRPr="00923D98">
              <w:rPr>
                <w:rFonts w:asciiTheme="minorHAnsi" w:hAnsiTheme="minorHAnsi" w:cstheme="minorHAnsi"/>
                <w:sz w:val="22"/>
                <w:szCs w:val="22"/>
              </w:rPr>
              <w:t>Navýšení personálních kapacit SÚKL s ohledem na odpovídající nárůstu agend</w:t>
            </w:r>
          </w:p>
        </w:tc>
        <w:tc>
          <w:tcPr>
            <w:tcW w:w="448" w:type="pct"/>
          </w:tcPr>
          <w:p w:rsidR="005348D2" w:rsidRPr="00923D98" w:rsidP="005348D2" w14:paraId="70B881BB" w14:textId="26FBC372">
            <w:pPr>
              <w:rPr>
                <w:rFonts w:asciiTheme="minorHAnsi" w:hAnsiTheme="minorHAnsi" w:cstheme="minorHAnsi"/>
                <w:sz w:val="22"/>
                <w:szCs w:val="22"/>
              </w:rPr>
            </w:pPr>
            <w:r w:rsidRPr="00923D98">
              <w:rPr>
                <w:rFonts w:asciiTheme="minorHAnsi" w:hAnsiTheme="minorHAnsi" w:cstheme="minorHAnsi"/>
                <w:sz w:val="22"/>
                <w:szCs w:val="22"/>
              </w:rPr>
              <w:t>2026-2028</w:t>
            </w:r>
          </w:p>
        </w:tc>
        <w:tc>
          <w:tcPr>
            <w:tcW w:w="429" w:type="pct"/>
          </w:tcPr>
          <w:p w:rsidR="005348D2" w:rsidRPr="00923D98" w:rsidP="005348D2" w14:paraId="7155DBA4" w14:textId="1868DBCE">
            <w:pPr>
              <w:rPr>
                <w:rFonts w:asciiTheme="minorHAnsi" w:hAnsiTheme="minorHAnsi" w:cstheme="minorHAnsi"/>
                <w:sz w:val="22"/>
                <w:szCs w:val="22"/>
              </w:rPr>
            </w:pPr>
            <w:r w:rsidRPr="00923D98">
              <w:rPr>
                <w:rFonts w:asciiTheme="minorHAnsi" w:hAnsiTheme="minorHAnsi" w:cstheme="minorHAnsi"/>
                <w:sz w:val="22"/>
                <w:szCs w:val="22"/>
              </w:rPr>
              <w:t>MZD (ST)</w:t>
            </w:r>
          </w:p>
        </w:tc>
        <w:tc>
          <w:tcPr>
            <w:tcW w:w="593" w:type="pct"/>
          </w:tcPr>
          <w:p w:rsidR="005348D2" w:rsidRPr="00923D98" w:rsidP="005348D2" w14:paraId="05D81466" w14:textId="16DE9F20">
            <w:pPr>
              <w:rPr>
                <w:rFonts w:asciiTheme="minorHAnsi" w:hAnsiTheme="minorHAnsi" w:cstheme="minorHAnsi"/>
                <w:sz w:val="22"/>
                <w:szCs w:val="22"/>
              </w:rPr>
            </w:pPr>
            <w:r w:rsidRPr="00923D98">
              <w:rPr>
                <w:rFonts w:asciiTheme="minorHAnsi" w:hAnsiTheme="minorHAnsi" w:cstheme="minorHAnsi"/>
                <w:sz w:val="22"/>
                <w:szCs w:val="22"/>
              </w:rPr>
              <w:t>SÚKL</w:t>
            </w:r>
          </w:p>
        </w:tc>
      </w:tr>
      <w:tr w14:paraId="3816606E" w14:textId="77777777" w:rsidTr="00FF7BEB">
        <w:tblPrEx>
          <w:tblW w:w="5000" w:type="pct"/>
          <w:tblLook w:val="0600"/>
        </w:tblPrEx>
        <w:trPr>
          <w:trHeight w:val="225"/>
        </w:trPr>
        <w:tc>
          <w:tcPr>
            <w:tcW w:w="910" w:type="pct"/>
          </w:tcPr>
          <w:p w:rsidR="005348D2" w:rsidRPr="00923D98" w:rsidP="005348D2" w14:paraId="246D29D3" w14:textId="77777777">
            <w:pPr>
              <w:rPr>
                <w:rFonts w:asciiTheme="minorHAnsi" w:hAnsiTheme="minorHAnsi" w:cstheme="minorHAnsi"/>
                <w:b/>
                <w:color w:val="FF0000"/>
                <w:sz w:val="22"/>
                <w:szCs w:val="22"/>
              </w:rPr>
            </w:pPr>
          </w:p>
        </w:tc>
        <w:tc>
          <w:tcPr>
            <w:tcW w:w="1520" w:type="pct"/>
          </w:tcPr>
          <w:p w:rsidR="005348D2" w:rsidRPr="00923D98" w:rsidP="005348D2" w14:paraId="0AEA39C1" w14:textId="1FD8C6D5">
            <w:pPr>
              <w:rPr>
                <w:rFonts w:asciiTheme="minorHAnsi" w:hAnsiTheme="minorHAnsi" w:cstheme="minorHAnsi"/>
                <w:sz w:val="22"/>
                <w:szCs w:val="22"/>
              </w:rPr>
            </w:pPr>
            <w:r w:rsidRPr="00923D98">
              <w:rPr>
                <w:rFonts w:asciiTheme="minorHAnsi" w:hAnsiTheme="minorHAnsi" w:cstheme="minorHAnsi"/>
                <w:sz w:val="22"/>
                <w:szCs w:val="22"/>
              </w:rPr>
              <w:t xml:space="preserve">Špatný technický stav budovy SÚKL neposkytuje dostatečné zázemí pro výkon aktuálních činností, tím spíš, že vzhledem k reformě lékové politiky je očekáván razantní nárůst agend. Ten klade zvýšené požadavky nejenom na kancelářské prostory, ale rovněž na rozvoj laboratorních prostor. </w:t>
            </w:r>
          </w:p>
        </w:tc>
        <w:tc>
          <w:tcPr>
            <w:tcW w:w="1100" w:type="pct"/>
          </w:tcPr>
          <w:p w:rsidR="005348D2" w:rsidRPr="00923D98" w:rsidP="005348D2" w14:paraId="56B65A22" w14:textId="78B0BFF8">
            <w:pPr>
              <w:rPr>
                <w:rFonts w:asciiTheme="minorHAnsi" w:hAnsiTheme="minorHAnsi" w:cstheme="minorHAnsi"/>
                <w:sz w:val="22"/>
                <w:szCs w:val="22"/>
              </w:rPr>
            </w:pPr>
            <w:r w:rsidRPr="00923D98">
              <w:rPr>
                <w:rFonts w:asciiTheme="minorHAnsi" w:hAnsiTheme="minorHAnsi" w:cstheme="minorHAnsi"/>
                <w:sz w:val="22"/>
                <w:szCs w:val="22"/>
              </w:rPr>
              <w:t>Modernizace sídla Státního ústavu pro kontrolu léčiv, a to i s ohledem na navýšení personálních kapacit odpovídající nárůstu agend nebo rozvoj laboratorních prostor</w:t>
            </w:r>
          </w:p>
        </w:tc>
        <w:tc>
          <w:tcPr>
            <w:tcW w:w="448" w:type="pct"/>
          </w:tcPr>
          <w:p w:rsidR="005348D2" w:rsidRPr="00923D98" w:rsidP="005348D2" w14:paraId="2CACACF5" w14:textId="4AA42286">
            <w:pPr>
              <w:rPr>
                <w:rFonts w:asciiTheme="minorHAnsi" w:hAnsiTheme="minorHAnsi" w:cstheme="minorHAnsi"/>
                <w:sz w:val="22"/>
                <w:szCs w:val="22"/>
              </w:rPr>
            </w:pPr>
            <w:r w:rsidRPr="00923D98">
              <w:rPr>
                <w:rFonts w:asciiTheme="minorHAnsi" w:hAnsiTheme="minorHAnsi" w:cstheme="minorHAnsi"/>
                <w:sz w:val="22"/>
                <w:szCs w:val="22"/>
              </w:rPr>
              <w:t>2026-2035</w:t>
            </w:r>
          </w:p>
        </w:tc>
        <w:tc>
          <w:tcPr>
            <w:tcW w:w="429" w:type="pct"/>
          </w:tcPr>
          <w:p w:rsidR="005348D2" w:rsidRPr="00923D98" w:rsidP="005348D2" w14:paraId="77740E57" w14:textId="39406F7D">
            <w:pPr>
              <w:rPr>
                <w:rFonts w:asciiTheme="minorHAnsi" w:hAnsiTheme="minorHAnsi" w:cstheme="minorHAnsi"/>
                <w:sz w:val="22"/>
                <w:szCs w:val="22"/>
              </w:rPr>
            </w:pPr>
            <w:r w:rsidRPr="00923D98">
              <w:rPr>
                <w:rFonts w:asciiTheme="minorHAnsi" w:hAnsiTheme="minorHAnsi" w:cstheme="minorHAnsi"/>
                <w:sz w:val="22"/>
                <w:szCs w:val="22"/>
              </w:rPr>
              <w:t>SÚKL</w:t>
            </w:r>
          </w:p>
        </w:tc>
        <w:tc>
          <w:tcPr>
            <w:tcW w:w="593" w:type="pct"/>
          </w:tcPr>
          <w:p w:rsidR="005348D2" w:rsidRPr="00923D98" w:rsidP="005348D2" w14:paraId="3A57098E" w14:textId="77777777">
            <w:pPr>
              <w:rPr>
                <w:rFonts w:asciiTheme="minorHAnsi" w:hAnsiTheme="minorHAnsi" w:cstheme="minorHAnsi"/>
                <w:sz w:val="22"/>
                <w:szCs w:val="22"/>
              </w:rPr>
            </w:pPr>
          </w:p>
        </w:tc>
      </w:tr>
      <w:tr w14:paraId="2595C4BC" w14:textId="77777777" w:rsidTr="00FF7BEB">
        <w:tblPrEx>
          <w:tblW w:w="5000" w:type="pct"/>
          <w:tblLook w:val="0600"/>
        </w:tblPrEx>
        <w:trPr>
          <w:trHeight w:val="225"/>
        </w:trPr>
        <w:tc>
          <w:tcPr>
            <w:tcW w:w="910" w:type="pct"/>
          </w:tcPr>
          <w:p w:rsidR="005348D2" w:rsidRPr="00923D98" w:rsidP="005348D2" w14:paraId="3B5918F7" w14:textId="77777777">
            <w:pPr>
              <w:rPr>
                <w:rFonts w:asciiTheme="minorHAnsi" w:hAnsiTheme="minorHAnsi" w:cstheme="minorHAnsi"/>
                <w:b/>
                <w:color w:val="FF0000"/>
                <w:sz w:val="22"/>
                <w:szCs w:val="22"/>
              </w:rPr>
            </w:pPr>
          </w:p>
        </w:tc>
        <w:tc>
          <w:tcPr>
            <w:tcW w:w="1520" w:type="pct"/>
          </w:tcPr>
          <w:p w:rsidR="005348D2" w:rsidRPr="00923D98" w:rsidP="005348D2" w14:paraId="641FA1EE" w14:textId="29AE2BFC">
            <w:pPr>
              <w:rPr>
                <w:rFonts w:asciiTheme="minorHAnsi" w:hAnsiTheme="minorHAnsi" w:cstheme="minorHAnsi"/>
                <w:sz w:val="22"/>
                <w:szCs w:val="22"/>
              </w:rPr>
            </w:pPr>
            <w:r w:rsidRPr="00923D98">
              <w:rPr>
                <w:rFonts w:asciiTheme="minorHAnsi" w:hAnsiTheme="minorHAnsi" w:cstheme="minorHAnsi"/>
                <w:sz w:val="22"/>
                <w:szCs w:val="22"/>
              </w:rPr>
              <w:t xml:space="preserve">Vyhláška </w:t>
            </w:r>
            <w:r w:rsidRPr="00923D98" w:rsidR="00800840">
              <w:rPr>
                <w:rFonts w:asciiTheme="minorHAnsi" w:hAnsiTheme="minorHAnsi" w:cstheme="minorHAnsi"/>
                <w:sz w:val="22"/>
                <w:szCs w:val="22"/>
              </w:rPr>
              <w:t>427/2008 Sb.</w:t>
            </w:r>
            <w:r w:rsidRPr="00923D98">
              <w:rPr>
                <w:rFonts w:asciiTheme="minorHAnsi" w:hAnsiTheme="minorHAnsi" w:cstheme="minorHAnsi"/>
                <w:sz w:val="22"/>
                <w:szCs w:val="22"/>
              </w:rPr>
              <w:t>, podle které dojde k meziročnímu zvýšení mimorozpočtových příjmů o 9,5 %</w:t>
            </w:r>
            <w:r w:rsidRPr="00923D98" w:rsidR="00800840">
              <w:rPr>
                <w:rFonts w:asciiTheme="minorHAnsi" w:hAnsiTheme="minorHAnsi" w:cstheme="minorHAnsi"/>
                <w:sz w:val="22"/>
                <w:szCs w:val="22"/>
              </w:rPr>
              <w:t xml:space="preserve"> k</w:t>
            </w:r>
            <w:r w:rsidRPr="00923D98">
              <w:rPr>
                <w:rFonts w:asciiTheme="minorHAnsi" w:hAnsiTheme="minorHAnsi" w:cstheme="minorHAnsi"/>
                <w:sz w:val="22"/>
                <w:szCs w:val="22"/>
              </w:rPr>
              <w:t xml:space="preserve"> zajištění pozic specialistů v oblasti lékové politiky </w:t>
            </w:r>
          </w:p>
        </w:tc>
        <w:tc>
          <w:tcPr>
            <w:tcW w:w="1100" w:type="pct"/>
          </w:tcPr>
          <w:p w:rsidR="005348D2" w:rsidRPr="00923D98" w:rsidP="005348D2" w14:paraId="2C941E60" w14:textId="693E7FA5">
            <w:pPr>
              <w:rPr>
                <w:rFonts w:asciiTheme="minorHAnsi" w:hAnsiTheme="minorHAnsi" w:cstheme="minorHAnsi"/>
                <w:sz w:val="22"/>
                <w:szCs w:val="22"/>
              </w:rPr>
            </w:pPr>
            <w:r w:rsidRPr="00923D98">
              <w:rPr>
                <w:rFonts w:asciiTheme="minorHAnsi" w:hAnsiTheme="minorHAnsi" w:cstheme="minorHAnsi"/>
                <w:sz w:val="22"/>
                <w:szCs w:val="22"/>
              </w:rPr>
              <w:t>Zvýšení mimorozpočtových příjmů SÚKL pro udržení odborné úrovně činností.</w:t>
            </w:r>
          </w:p>
        </w:tc>
        <w:tc>
          <w:tcPr>
            <w:tcW w:w="448" w:type="pct"/>
          </w:tcPr>
          <w:p w:rsidR="005348D2" w:rsidRPr="00923D98" w:rsidP="005348D2" w14:paraId="495E0677" w14:textId="3A7E9F86">
            <w:pPr>
              <w:rPr>
                <w:rFonts w:asciiTheme="minorHAnsi" w:hAnsiTheme="minorHAnsi" w:cstheme="minorHAnsi"/>
                <w:sz w:val="22"/>
                <w:szCs w:val="22"/>
              </w:rPr>
            </w:pPr>
            <w:r w:rsidRPr="00923D98">
              <w:rPr>
                <w:rFonts w:asciiTheme="minorHAnsi" w:hAnsiTheme="minorHAnsi" w:cstheme="minorHAnsi"/>
                <w:sz w:val="22"/>
                <w:szCs w:val="22"/>
              </w:rPr>
              <w:t>2026-2027</w:t>
            </w:r>
          </w:p>
        </w:tc>
        <w:tc>
          <w:tcPr>
            <w:tcW w:w="429" w:type="pct"/>
          </w:tcPr>
          <w:p w:rsidR="005348D2" w:rsidRPr="00923D98" w:rsidP="005348D2" w14:paraId="372AE8E9" w14:textId="75F7592B">
            <w:pPr>
              <w:rPr>
                <w:rFonts w:asciiTheme="minorHAnsi" w:hAnsiTheme="minorHAnsi" w:cstheme="minorHAnsi"/>
                <w:sz w:val="22"/>
                <w:szCs w:val="22"/>
              </w:rPr>
            </w:pPr>
            <w:r w:rsidRPr="00923D98">
              <w:rPr>
                <w:rFonts w:asciiTheme="minorHAnsi" w:hAnsiTheme="minorHAnsi" w:cstheme="minorHAnsi"/>
                <w:sz w:val="22"/>
                <w:szCs w:val="22"/>
              </w:rPr>
              <w:t>MZD (SE-OLZP)</w:t>
            </w:r>
          </w:p>
        </w:tc>
        <w:tc>
          <w:tcPr>
            <w:tcW w:w="593" w:type="pct"/>
          </w:tcPr>
          <w:p w:rsidR="005348D2" w:rsidRPr="00923D98" w:rsidP="005348D2" w14:paraId="0435F8C8" w14:textId="3BD5D55E">
            <w:pPr>
              <w:rPr>
                <w:rFonts w:asciiTheme="minorHAnsi" w:hAnsiTheme="minorHAnsi" w:cstheme="minorHAnsi"/>
                <w:sz w:val="22"/>
                <w:szCs w:val="22"/>
              </w:rPr>
            </w:pPr>
            <w:r w:rsidRPr="00923D98">
              <w:rPr>
                <w:rFonts w:asciiTheme="minorHAnsi" w:hAnsiTheme="minorHAnsi" w:cstheme="minorHAnsi"/>
                <w:sz w:val="22"/>
                <w:szCs w:val="22"/>
              </w:rPr>
              <w:t>MZD (SL), SÚKL</w:t>
            </w:r>
          </w:p>
        </w:tc>
      </w:tr>
    </w:tbl>
    <w:p w:rsidR="00960C9E" w:rsidRPr="00923D98" w:rsidP="00960C9E" w14:paraId="170E9A48" w14:textId="104120B7">
      <w:pPr>
        <w:rPr>
          <w:rFonts w:asciiTheme="minorHAnsi" w:hAnsiTheme="minorHAnsi" w:cstheme="minorHAnsi"/>
          <w:bCs/>
          <w:sz w:val="20"/>
          <w:szCs w:val="20"/>
        </w:rPr>
      </w:pPr>
      <w:r w:rsidRPr="00923D98">
        <w:rPr>
          <w:rFonts w:asciiTheme="minorHAnsi" w:hAnsiTheme="minorHAnsi" w:cstheme="minorHAnsi"/>
          <w:bCs/>
          <w:sz w:val="20"/>
          <w:szCs w:val="20"/>
        </w:rPr>
        <w:t>Zdroj: vlastní zpracování</w:t>
      </w:r>
    </w:p>
    <w:p w:rsidR="000063A0" w:rsidRPr="00923D98" w14:paraId="24602467" w14:textId="77777777">
      <w:pPr>
        <w:rPr>
          <w:rFonts w:asciiTheme="minorHAnsi" w:hAnsiTheme="minorHAnsi" w:cstheme="minorHAnsi"/>
          <w:b/>
        </w:rPr>
        <w:sectPr w:rsidSect="008E50C8">
          <w:pgSz w:w="16838" w:h="11906" w:orient="landscape"/>
          <w:pgMar w:top="1417" w:right="1417" w:bottom="1417" w:left="1417" w:header="708" w:footer="708" w:gutter="0"/>
          <w:cols w:space="708"/>
          <w:titlePg/>
          <w:docGrid w:linePitch="360"/>
        </w:sectPr>
      </w:pPr>
    </w:p>
    <w:p w:rsidR="003325EC" w:rsidRPr="00923D98" w14:paraId="17613EC4" w14:textId="77777777">
      <w:pPr>
        <w:rPr>
          <w:rFonts w:asciiTheme="minorHAnsi" w:hAnsiTheme="minorHAnsi" w:cstheme="minorHAnsi"/>
          <w:b/>
        </w:rPr>
      </w:pPr>
    </w:p>
    <w:p w:rsidR="002B1FFD" w:rsidRPr="00923D98" w:rsidP="002B1FFD" w14:paraId="08B1934A" w14:textId="77777777">
      <w:pPr>
        <w:pStyle w:val="Heading1"/>
        <w:numPr>
          <w:ilvl w:val="0"/>
          <w:numId w:val="13"/>
        </w:numPr>
        <w:rPr>
          <w:rFonts w:cstheme="minorHAnsi"/>
        </w:rPr>
      </w:pPr>
      <w:bookmarkStart w:id="229" w:name="_Toc256000003"/>
      <w:r w:rsidRPr="00923D98">
        <w:rPr>
          <w:rFonts w:cstheme="minorHAnsi"/>
        </w:rPr>
        <w:t xml:space="preserve">Rozpočet a </w:t>
      </w:r>
      <w:r w:rsidRPr="00923D98" w:rsidR="0024762C">
        <w:rPr>
          <w:rFonts w:cstheme="minorHAnsi"/>
        </w:rPr>
        <w:t xml:space="preserve">předpokládané </w:t>
      </w:r>
      <w:r w:rsidRPr="00923D98">
        <w:rPr>
          <w:rFonts w:cstheme="minorHAnsi"/>
        </w:rPr>
        <w:t>zdroje financování</w:t>
      </w:r>
      <w:bookmarkEnd w:id="229"/>
    </w:p>
    <w:p w:rsidR="00C11F34" w:rsidRPr="00923D98" w:rsidP="00C11F34" w14:paraId="1F6C2632" w14:textId="77777777">
      <w:pPr>
        <w:rPr>
          <w:rFonts w:asciiTheme="minorHAnsi" w:hAnsiTheme="minorHAnsi" w:cstheme="minorHAnsi"/>
        </w:rPr>
      </w:pPr>
    </w:p>
    <w:p w:rsidR="003626CC" w:rsidRPr="00923D98" w:rsidP="0043578C" w14:paraId="7736C34A" w14:textId="0FBF41A9">
      <w:pPr>
        <w:jc w:val="both"/>
        <w:rPr>
          <w:rFonts w:asciiTheme="minorHAnsi" w:hAnsiTheme="minorHAnsi" w:cstheme="minorHAnsi"/>
          <w:color w:val="000000" w:themeColor="text1"/>
        </w:rPr>
      </w:pPr>
      <w:r w:rsidRPr="00923D98">
        <w:rPr>
          <w:rFonts w:asciiTheme="minorHAnsi" w:hAnsiTheme="minorHAnsi" w:cstheme="minorHAnsi"/>
          <w:color w:val="000000" w:themeColor="text1"/>
        </w:rPr>
        <w:t>Cíle budou realizovány bez nároku na zvýšení personálních kapacit a objemu prostředků na platy kapitoly 335 (Ministerstvo zdravotnictví) ani v jiných institucích.</w:t>
      </w:r>
      <w:r w:rsidRPr="00923D98" w:rsidR="00960C9E">
        <w:rPr>
          <w:rFonts w:asciiTheme="minorHAnsi" w:hAnsiTheme="minorHAnsi" w:cstheme="minorHAnsi"/>
          <w:color w:val="000000" w:themeColor="text1"/>
        </w:rPr>
        <w:t xml:space="preserve"> Veškeré aktivity budou plněny v rámci běžné agendy MZD.</w:t>
      </w:r>
    </w:p>
    <w:p w:rsidR="00121E7C" w:rsidRPr="00923D98" w:rsidP="00424AFC" w14:paraId="0AEED849" w14:textId="4A94D39A">
      <w:pPr>
        <w:pStyle w:val="Caption"/>
        <w:spacing w:before="120" w:after="0"/>
        <w:rPr>
          <w:rFonts w:asciiTheme="minorHAnsi" w:hAnsiTheme="minorHAnsi" w:cstheme="minorHAnsi"/>
        </w:rPr>
      </w:pPr>
      <w:bookmarkStart w:id="230" w:name="_Toc256000013"/>
      <w:r w:rsidRPr="00923D98">
        <w:rPr>
          <w:rFonts w:asciiTheme="minorHAnsi" w:hAnsiTheme="minorHAnsi" w:cstheme="minorHAnsi"/>
        </w:rPr>
        <w:t xml:space="preserve">Tabulka </w:t>
      </w:r>
      <w:r w:rsidRPr="00923D98">
        <w:rPr>
          <w:rFonts w:asciiTheme="minorHAnsi" w:hAnsiTheme="minorHAnsi" w:cstheme="minorHAnsi"/>
        </w:rPr>
        <w:fldChar w:fldCharType="begin"/>
      </w:r>
      <w:r w:rsidRPr="00923D98">
        <w:rPr>
          <w:rFonts w:asciiTheme="minorHAnsi" w:hAnsiTheme="minorHAnsi" w:cstheme="minorHAnsi"/>
        </w:rPr>
        <w:instrText xml:space="preserve"> SEQ Tabulka \* ARABIC </w:instrText>
      </w:r>
      <w:r w:rsidRPr="00923D98">
        <w:rPr>
          <w:rFonts w:asciiTheme="minorHAnsi" w:hAnsiTheme="minorHAnsi" w:cstheme="minorHAnsi"/>
        </w:rPr>
        <w:fldChar w:fldCharType="separate"/>
      </w:r>
      <w:r w:rsidRPr="00923D98">
        <w:rPr>
          <w:rFonts w:asciiTheme="minorHAnsi" w:hAnsiTheme="minorHAnsi" w:cstheme="minorHAnsi"/>
        </w:rPr>
        <w:t>2</w:t>
      </w:r>
      <w:r w:rsidRPr="00923D98">
        <w:rPr>
          <w:rFonts w:asciiTheme="minorHAnsi" w:hAnsiTheme="minorHAnsi" w:cstheme="minorHAnsi"/>
        </w:rPr>
        <w:fldChar w:fldCharType="end"/>
      </w:r>
      <w:r w:rsidRPr="00923D98">
        <w:rPr>
          <w:rFonts w:asciiTheme="minorHAnsi" w:hAnsiTheme="minorHAnsi" w:cstheme="minorHAnsi"/>
        </w:rPr>
        <w:t xml:space="preserve"> </w:t>
      </w:r>
      <w:r w:rsidRPr="00923D98" w:rsidR="00427532">
        <w:rPr>
          <w:rFonts w:asciiTheme="minorHAnsi" w:hAnsiTheme="minorHAnsi" w:cstheme="minorHAnsi"/>
        </w:rPr>
        <w:t>Rozpočet dle dílčích cílů a plánované zdroje financování</w:t>
      </w:r>
      <w:bookmarkEnd w:id="230"/>
    </w:p>
    <w:tbl>
      <w:tblPr>
        <w:tblpPr w:leftFromText="141" w:rightFromText="141" w:vertAnchor="text" w:horzAnchor="margin" w:tblpY="13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16"/>
        <w:gridCol w:w="1526"/>
        <w:gridCol w:w="1799"/>
        <w:gridCol w:w="1296"/>
        <w:gridCol w:w="1215"/>
        <w:gridCol w:w="167"/>
        <w:gridCol w:w="40"/>
        <w:gridCol w:w="1503"/>
      </w:tblGrid>
      <w:tr w14:paraId="68FDCBAF" w14:textId="77777777" w:rsidTr="006D507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1252"/>
        </w:trPr>
        <w:tc>
          <w:tcPr>
            <w:tcW w:w="836" w:type="pct"/>
            <w:vMerge w:val="restart"/>
          </w:tcPr>
          <w:p w:rsidR="00960C9E" w:rsidRPr="00923D98" w:rsidP="00960C9E" w14:paraId="49D7D8A7" w14:textId="77777777">
            <w:pPr>
              <w:rPr>
                <w:rFonts w:asciiTheme="minorHAnsi" w:hAnsiTheme="minorHAnsi" w:cstheme="minorHAnsi"/>
                <w:b/>
                <w:sz w:val="22"/>
                <w:szCs w:val="22"/>
              </w:rPr>
            </w:pPr>
            <w:r w:rsidRPr="00923D98">
              <w:rPr>
                <w:rFonts w:asciiTheme="minorHAnsi" w:hAnsiTheme="minorHAnsi" w:cstheme="minorHAnsi"/>
                <w:b/>
                <w:sz w:val="22"/>
                <w:szCs w:val="22"/>
              </w:rPr>
              <w:t>Číslo dílčího cíle</w:t>
            </w:r>
          </w:p>
        </w:tc>
        <w:tc>
          <w:tcPr>
            <w:tcW w:w="842" w:type="pct"/>
            <w:vMerge w:val="restart"/>
          </w:tcPr>
          <w:p w:rsidR="00960C9E" w:rsidRPr="00923D98" w:rsidP="00960C9E" w14:paraId="789F5EA6" w14:textId="77777777">
            <w:pPr>
              <w:rPr>
                <w:rFonts w:asciiTheme="minorHAnsi" w:hAnsiTheme="minorHAnsi" w:cstheme="minorHAnsi"/>
                <w:b/>
                <w:sz w:val="22"/>
                <w:szCs w:val="22"/>
              </w:rPr>
            </w:pPr>
            <w:r w:rsidRPr="00923D98">
              <w:rPr>
                <w:rFonts w:asciiTheme="minorHAnsi" w:hAnsiTheme="minorHAnsi" w:cstheme="minorHAnsi"/>
                <w:b/>
                <w:sz w:val="22"/>
                <w:szCs w:val="22"/>
              </w:rPr>
              <w:t>Celkové předpokládané náklady na realizaci DC</w:t>
            </w:r>
          </w:p>
        </w:tc>
        <w:tc>
          <w:tcPr>
            <w:tcW w:w="993" w:type="pct"/>
            <w:vMerge w:val="restart"/>
          </w:tcPr>
          <w:p w:rsidR="00960C9E" w:rsidRPr="00923D98" w:rsidP="00960C9E" w14:paraId="14FEFA4C" w14:textId="77777777">
            <w:pPr>
              <w:rPr>
                <w:rFonts w:asciiTheme="minorHAnsi" w:hAnsiTheme="minorHAnsi" w:cstheme="minorHAnsi"/>
                <w:b/>
                <w:sz w:val="22"/>
                <w:szCs w:val="22"/>
              </w:rPr>
            </w:pPr>
            <w:r w:rsidRPr="00923D98">
              <w:rPr>
                <w:rFonts w:asciiTheme="minorHAnsi" w:hAnsiTheme="minorHAnsi" w:cstheme="minorHAnsi"/>
                <w:b/>
                <w:sz w:val="22"/>
                <w:szCs w:val="22"/>
              </w:rPr>
              <w:t>Typ nákladů</w:t>
            </w:r>
          </w:p>
          <w:p w:rsidR="00960C9E" w:rsidRPr="00923D98" w:rsidP="00960C9E" w14:paraId="14D4EFFB" w14:textId="77777777">
            <w:pPr>
              <w:rPr>
                <w:rFonts w:asciiTheme="minorHAnsi" w:hAnsiTheme="minorHAnsi" w:cstheme="minorHAnsi"/>
                <w:b/>
                <w:sz w:val="22"/>
                <w:szCs w:val="22"/>
              </w:rPr>
            </w:pPr>
            <w:r w:rsidRPr="00923D98">
              <w:rPr>
                <w:rFonts w:asciiTheme="minorHAnsi" w:hAnsiTheme="minorHAnsi" w:cstheme="minorHAnsi"/>
                <w:b/>
                <w:sz w:val="22"/>
                <w:szCs w:val="22"/>
              </w:rPr>
              <w:t>(administrativní kapacity/provozní náklady/ investiční výdaje/účelové neinvestiční výdaje</w:t>
            </w:r>
          </w:p>
        </w:tc>
        <w:tc>
          <w:tcPr>
            <w:tcW w:w="715" w:type="pct"/>
            <w:vMerge w:val="restart"/>
          </w:tcPr>
          <w:p w:rsidR="00960C9E" w:rsidRPr="00923D98" w:rsidP="00960C9E" w14:paraId="480736C4" w14:textId="77777777">
            <w:pPr>
              <w:rPr>
                <w:rFonts w:asciiTheme="minorHAnsi" w:hAnsiTheme="minorHAnsi" w:cstheme="minorHAnsi"/>
                <w:b/>
                <w:sz w:val="22"/>
                <w:szCs w:val="22"/>
              </w:rPr>
            </w:pPr>
            <w:r w:rsidRPr="00923D98">
              <w:rPr>
                <w:rFonts w:asciiTheme="minorHAnsi" w:hAnsiTheme="minorHAnsi" w:cstheme="minorHAnsi"/>
                <w:b/>
                <w:sz w:val="22"/>
                <w:szCs w:val="22"/>
              </w:rPr>
              <w:t>Předpokládá se projektový záměr ANO/NE</w:t>
            </w:r>
          </w:p>
        </w:tc>
        <w:tc>
          <w:tcPr>
            <w:tcW w:w="1614" w:type="pct"/>
            <w:gridSpan w:val="4"/>
          </w:tcPr>
          <w:p w:rsidR="00960C9E" w:rsidRPr="00923D98" w:rsidP="00960C9E" w14:paraId="57CCDB16" w14:textId="77777777">
            <w:pPr>
              <w:rPr>
                <w:rFonts w:asciiTheme="minorHAnsi" w:hAnsiTheme="minorHAnsi" w:cstheme="minorHAnsi"/>
                <w:b/>
                <w:sz w:val="22"/>
                <w:szCs w:val="22"/>
              </w:rPr>
            </w:pPr>
            <w:r w:rsidRPr="00923D98">
              <w:rPr>
                <w:rFonts w:asciiTheme="minorHAnsi" w:hAnsiTheme="minorHAnsi" w:cstheme="minorHAnsi"/>
                <w:b/>
                <w:sz w:val="22"/>
                <w:szCs w:val="22"/>
              </w:rPr>
              <w:t xml:space="preserve">Předpokládané zdroje financování </w:t>
            </w:r>
            <w:r w:rsidRPr="00923D98">
              <w:rPr>
                <w:rFonts w:asciiTheme="minorHAnsi" w:hAnsiTheme="minorHAnsi" w:cstheme="minorHAnsi"/>
                <w:b/>
                <w:bCs/>
                <w:sz w:val="22"/>
                <w:szCs w:val="22"/>
              </w:rPr>
              <w:t xml:space="preserve">(státní rozpočet/fondy zdrav. pojišťoven/programové </w:t>
            </w:r>
            <w:r w:rsidRPr="00923D98">
              <w:rPr>
                <w:rFonts w:asciiTheme="minorHAnsi" w:hAnsiTheme="minorHAnsi" w:cstheme="minorHAnsi"/>
                <w:b/>
                <w:bCs/>
                <w:sz w:val="22"/>
                <w:szCs w:val="22"/>
              </w:rPr>
              <w:t>financování- EF</w:t>
            </w:r>
            <w:r w:rsidRPr="00923D98">
              <w:rPr>
                <w:rFonts w:asciiTheme="minorHAnsi" w:hAnsiTheme="minorHAnsi" w:cstheme="minorHAnsi"/>
                <w:b/>
                <w:bCs/>
                <w:sz w:val="22"/>
                <w:szCs w:val="22"/>
              </w:rPr>
              <w:t>/“vyvolaný náklad“- pro úkol nejsou zabezpečeny zdroje ani personální kapacity)</w:t>
            </w:r>
          </w:p>
        </w:tc>
      </w:tr>
      <w:tr w14:paraId="43FC722A" w14:textId="77777777" w:rsidTr="006D5074">
        <w:tblPrEx>
          <w:tblW w:w="5000" w:type="pct"/>
          <w:tblCellMar>
            <w:left w:w="70" w:type="dxa"/>
            <w:right w:w="70" w:type="dxa"/>
          </w:tblCellMar>
          <w:tblLook w:val="0000"/>
        </w:tblPrEx>
        <w:trPr>
          <w:trHeight w:val="818"/>
        </w:trPr>
        <w:tc>
          <w:tcPr>
            <w:tcW w:w="836" w:type="pct"/>
            <w:vMerge/>
          </w:tcPr>
          <w:p w:rsidR="00960C9E" w:rsidRPr="00923D98" w:rsidP="00960C9E" w14:paraId="6B7BD99B" w14:textId="77777777">
            <w:pPr>
              <w:rPr>
                <w:rFonts w:asciiTheme="minorHAnsi" w:hAnsiTheme="minorHAnsi" w:cstheme="minorHAnsi"/>
                <w:b/>
                <w:sz w:val="22"/>
                <w:szCs w:val="22"/>
              </w:rPr>
            </w:pPr>
          </w:p>
        </w:tc>
        <w:tc>
          <w:tcPr>
            <w:tcW w:w="842" w:type="pct"/>
            <w:vMerge/>
          </w:tcPr>
          <w:p w:rsidR="00960C9E" w:rsidRPr="00923D98" w:rsidP="00960C9E" w14:paraId="0957F1C5" w14:textId="77777777">
            <w:pPr>
              <w:rPr>
                <w:rFonts w:asciiTheme="minorHAnsi" w:hAnsiTheme="minorHAnsi" w:cstheme="minorHAnsi"/>
                <w:b/>
                <w:sz w:val="22"/>
                <w:szCs w:val="22"/>
              </w:rPr>
            </w:pPr>
          </w:p>
        </w:tc>
        <w:tc>
          <w:tcPr>
            <w:tcW w:w="993" w:type="pct"/>
            <w:vMerge/>
          </w:tcPr>
          <w:p w:rsidR="00960C9E" w:rsidRPr="00923D98" w:rsidP="00960C9E" w14:paraId="0DE2B9C2" w14:textId="77777777">
            <w:pPr>
              <w:rPr>
                <w:rFonts w:asciiTheme="minorHAnsi" w:hAnsiTheme="minorHAnsi" w:cstheme="minorHAnsi"/>
                <w:b/>
                <w:sz w:val="22"/>
                <w:szCs w:val="22"/>
              </w:rPr>
            </w:pPr>
          </w:p>
        </w:tc>
        <w:tc>
          <w:tcPr>
            <w:tcW w:w="715" w:type="pct"/>
            <w:vMerge/>
          </w:tcPr>
          <w:p w:rsidR="00960C9E" w:rsidRPr="00923D98" w:rsidP="00960C9E" w14:paraId="4DFCFAE0" w14:textId="77777777">
            <w:pPr>
              <w:rPr>
                <w:rFonts w:asciiTheme="minorHAnsi" w:hAnsiTheme="minorHAnsi" w:cstheme="minorHAnsi"/>
                <w:b/>
                <w:sz w:val="22"/>
                <w:szCs w:val="22"/>
              </w:rPr>
            </w:pPr>
          </w:p>
        </w:tc>
        <w:tc>
          <w:tcPr>
            <w:tcW w:w="763" w:type="pct"/>
            <w:gridSpan w:val="2"/>
          </w:tcPr>
          <w:p w:rsidR="00960C9E" w:rsidRPr="00923D98" w:rsidP="00960C9E" w14:paraId="7D315470" w14:textId="77777777">
            <w:pPr>
              <w:rPr>
                <w:rFonts w:asciiTheme="minorHAnsi" w:hAnsiTheme="minorHAnsi" w:cstheme="minorHAnsi"/>
                <w:b/>
                <w:sz w:val="22"/>
                <w:szCs w:val="22"/>
              </w:rPr>
            </w:pPr>
            <w:r w:rsidRPr="00923D98">
              <w:rPr>
                <w:rFonts w:asciiTheme="minorHAnsi" w:hAnsiTheme="minorHAnsi" w:cstheme="minorHAnsi"/>
                <w:b/>
                <w:sz w:val="22"/>
                <w:szCs w:val="22"/>
              </w:rPr>
              <w:t>Již alokované zdroje</w:t>
            </w:r>
            <w:r>
              <w:rPr>
                <w:rStyle w:val="FootnoteReference"/>
                <w:rFonts w:asciiTheme="minorHAnsi" w:hAnsiTheme="minorHAnsi" w:cstheme="minorHAnsi"/>
                <w:b/>
                <w:sz w:val="22"/>
                <w:szCs w:val="22"/>
              </w:rPr>
              <w:footnoteReference w:id="8"/>
            </w:r>
          </w:p>
        </w:tc>
        <w:tc>
          <w:tcPr>
            <w:tcW w:w="851" w:type="pct"/>
            <w:gridSpan w:val="2"/>
          </w:tcPr>
          <w:p w:rsidR="00960C9E" w:rsidRPr="00923D98" w:rsidP="00960C9E" w14:paraId="6881508F" w14:textId="77777777">
            <w:pPr>
              <w:rPr>
                <w:rFonts w:asciiTheme="minorHAnsi" w:hAnsiTheme="minorHAnsi" w:cstheme="minorHAnsi"/>
                <w:b/>
                <w:sz w:val="22"/>
                <w:szCs w:val="22"/>
              </w:rPr>
            </w:pPr>
            <w:r w:rsidRPr="00923D98">
              <w:rPr>
                <w:rFonts w:asciiTheme="minorHAnsi" w:hAnsiTheme="minorHAnsi" w:cstheme="minorHAnsi"/>
                <w:b/>
                <w:sz w:val="22"/>
                <w:szCs w:val="22"/>
              </w:rPr>
              <w:t>Další nutné zdroje</w:t>
            </w:r>
          </w:p>
        </w:tc>
      </w:tr>
      <w:tr w14:paraId="41487BE9" w14:textId="77777777" w:rsidTr="006D5074">
        <w:tblPrEx>
          <w:tblW w:w="5000" w:type="pct"/>
          <w:tblCellMar>
            <w:left w:w="70" w:type="dxa"/>
            <w:right w:w="70" w:type="dxa"/>
          </w:tblCellMar>
          <w:tblLook w:val="0000"/>
        </w:tblPrEx>
        <w:trPr>
          <w:trHeight w:val="1269"/>
        </w:trPr>
        <w:tc>
          <w:tcPr>
            <w:tcW w:w="836" w:type="pct"/>
            <w:vAlign w:val="center"/>
          </w:tcPr>
          <w:p w:rsidR="00960C9E" w:rsidRPr="00923D98" w:rsidP="00960C9E" w14:paraId="46B48488" w14:textId="5E788F77">
            <w:pPr>
              <w:rPr>
                <w:rFonts w:asciiTheme="minorHAnsi" w:hAnsiTheme="minorHAnsi" w:cstheme="minorHAnsi"/>
                <w:sz w:val="22"/>
                <w:szCs w:val="22"/>
              </w:rPr>
            </w:pPr>
            <w:r w:rsidRPr="00923D98">
              <w:rPr>
                <w:rFonts w:asciiTheme="minorHAnsi" w:hAnsiTheme="minorHAnsi" w:cstheme="minorHAnsi"/>
                <w:sz w:val="22"/>
                <w:szCs w:val="22"/>
              </w:rPr>
              <w:t xml:space="preserve">1.3.1 </w:t>
            </w:r>
            <w:r w:rsidRPr="00923D98" w:rsidR="00C00ED7">
              <w:rPr>
                <w:rFonts w:asciiTheme="minorHAnsi" w:hAnsiTheme="minorHAnsi" w:cstheme="minorHAnsi"/>
                <w:sz w:val="22"/>
                <w:szCs w:val="22"/>
              </w:rPr>
              <w:t>Implementovat unijní právní předpisy a stabilizovat řízení zásob léčiv</w:t>
            </w:r>
          </w:p>
        </w:tc>
        <w:tc>
          <w:tcPr>
            <w:tcW w:w="842" w:type="pct"/>
          </w:tcPr>
          <w:p w:rsidR="00960C9E" w:rsidRPr="00923D98" w:rsidP="00960C9E" w14:paraId="164D35FE" w14:textId="61A56B6B">
            <w:pPr>
              <w:rPr>
                <w:rFonts w:asciiTheme="minorHAnsi" w:hAnsiTheme="minorHAnsi" w:cstheme="minorHAnsi"/>
                <w:i/>
                <w:iCs/>
                <w:sz w:val="22"/>
                <w:szCs w:val="22"/>
              </w:rPr>
            </w:pPr>
            <w:r w:rsidRPr="00923D98">
              <w:rPr>
                <w:rFonts w:asciiTheme="minorHAnsi" w:hAnsiTheme="minorHAnsi" w:cstheme="minorHAnsi"/>
                <w:i/>
                <w:iCs/>
                <w:sz w:val="22"/>
                <w:szCs w:val="22"/>
              </w:rPr>
              <w:t>Budou stanoveny při další aktualizaci (či průběžně) po úpravě legislativy s ohledem na obsah legislativních změn a dopadu do jednotlivých oblastí. Nyní nelze definovat požadované hodnoty, obsah se stále diskutuje na EU úrovni.</w:t>
            </w:r>
          </w:p>
        </w:tc>
        <w:tc>
          <w:tcPr>
            <w:tcW w:w="993" w:type="pct"/>
          </w:tcPr>
          <w:p w:rsidR="00960C9E" w:rsidRPr="00923D98" w:rsidP="00960C9E" w14:paraId="2B1D09EC" w14:textId="71F97908">
            <w:pPr>
              <w:rPr>
                <w:rFonts w:asciiTheme="minorHAnsi" w:hAnsiTheme="minorHAnsi" w:cstheme="minorHAnsi"/>
                <w:sz w:val="22"/>
                <w:szCs w:val="22"/>
              </w:rPr>
            </w:pPr>
            <w:r w:rsidRPr="00923D98">
              <w:rPr>
                <w:rFonts w:asciiTheme="minorHAnsi" w:hAnsiTheme="minorHAnsi" w:cstheme="minorHAnsi"/>
                <w:sz w:val="22"/>
                <w:szCs w:val="22"/>
              </w:rPr>
              <w:t>Bude řešeno v rámci běžné agendy MZ</w:t>
            </w:r>
            <w:r w:rsidR="00702C2A">
              <w:rPr>
                <w:rFonts w:asciiTheme="minorHAnsi" w:hAnsiTheme="minorHAnsi" w:cstheme="minorHAnsi"/>
                <w:sz w:val="22"/>
                <w:szCs w:val="22"/>
              </w:rPr>
              <w:t>D</w:t>
            </w:r>
          </w:p>
        </w:tc>
        <w:tc>
          <w:tcPr>
            <w:tcW w:w="715" w:type="pct"/>
          </w:tcPr>
          <w:p w:rsidR="00960C9E" w:rsidRPr="00923D98" w:rsidP="00960C9E" w14:paraId="14126280" w14:textId="77777777">
            <w:pPr>
              <w:rPr>
                <w:rFonts w:asciiTheme="minorHAnsi" w:hAnsiTheme="minorHAnsi" w:cstheme="minorHAnsi"/>
                <w:sz w:val="22"/>
                <w:szCs w:val="22"/>
              </w:rPr>
            </w:pPr>
            <w:r w:rsidRPr="00923D98">
              <w:rPr>
                <w:rFonts w:asciiTheme="minorHAnsi" w:hAnsiTheme="minorHAnsi" w:cstheme="minorHAnsi"/>
                <w:sz w:val="22"/>
                <w:szCs w:val="22"/>
              </w:rPr>
              <w:t>NE</w:t>
            </w:r>
          </w:p>
        </w:tc>
        <w:tc>
          <w:tcPr>
            <w:tcW w:w="763" w:type="pct"/>
            <w:gridSpan w:val="2"/>
          </w:tcPr>
          <w:p w:rsidR="00960C9E" w:rsidRPr="00923D98" w:rsidP="00960C9E" w14:paraId="20599215" w14:textId="77777777">
            <w:pPr>
              <w:rPr>
                <w:rFonts w:asciiTheme="minorHAnsi" w:hAnsiTheme="minorHAnsi" w:cstheme="minorHAnsi"/>
                <w:sz w:val="22"/>
                <w:szCs w:val="22"/>
              </w:rPr>
            </w:pPr>
            <w:r w:rsidRPr="00923D98">
              <w:rPr>
                <w:rFonts w:asciiTheme="minorHAnsi" w:hAnsiTheme="minorHAnsi" w:cstheme="minorHAnsi"/>
                <w:sz w:val="22"/>
                <w:szCs w:val="22"/>
              </w:rPr>
              <w:t>NR</w:t>
            </w:r>
          </w:p>
        </w:tc>
        <w:tc>
          <w:tcPr>
            <w:tcW w:w="851" w:type="pct"/>
            <w:gridSpan w:val="2"/>
          </w:tcPr>
          <w:p w:rsidR="00960C9E" w:rsidRPr="00923D98" w:rsidP="00960C9E" w14:paraId="2745F158" w14:textId="77777777">
            <w:pPr>
              <w:rPr>
                <w:rFonts w:asciiTheme="minorHAnsi" w:hAnsiTheme="minorHAnsi" w:cstheme="minorHAnsi"/>
                <w:sz w:val="22"/>
                <w:szCs w:val="22"/>
              </w:rPr>
            </w:pPr>
            <w:r w:rsidRPr="00923D98">
              <w:rPr>
                <w:rFonts w:asciiTheme="minorHAnsi" w:hAnsiTheme="minorHAnsi" w:cstheme="minorHAnsi"/>
                <w:sz w:val="22"/>
                <w:szCs w:val="22"/>
              </w:rPr>
              <w:t>NR</w:t>
            </w:r>
          </w:p>
        </w:tc>
      </w:tr>
      <w:tr w14:paraId="66F5CDDC" w14:textId="77777777" w:rsidTr="006D5074">
        <w:tblPrEx>
          <w:tblW w:w="5000" w:type="pct"/>
          <w:tblCellMar>
            <w:left w:w="70" w:type="dxa"/>
            <w:right w:w="70" w:type="dxa"/>
          </w:tblCellMar>
          <w:tblLook w:val="0000"/>
        </w:tblPrEx>
        <w:trPr>
          <w:trHeight w:val="1552"/>
        </w:trPr>
        <w:tc>
          <w:tcPr>
            <w:tcW w:w="836" w:type="pct"/>
            <w:vAlign w:val="center"/>
          </w:tcPr>
          <w:p w:rsidR="00960C9E" w:rsidRPr="00923D98" w:rsidP="00960C9E" w14:paraId="14C6634D" w14:textId="1E183212">
            <w:pPr>
              <w:rPr>
                <w:rFonts w:asciiTheme="minorHAnsi" w:hAnsiTheme="minorHAnsi" w:cstheme="minorHAnsi"/>
                <w:sz w:val="22"/>
                <w:szCs w:val="22"/>
              </w:rPr>
            </w:pPr>
            <w:r w:rsidRPr="00923D98">
              <w:rPr>
                <w:rFonts w:asciiTheme="minorHAnsi" w:hAnsiTheme="minorHAnsi" w:cstheme="minorHAnsi"/>
                <w:sz w:val="22"/>
                <w:szCs w:val="22"/>
              </w:rPr>
              <w:t xml:space="preserve">1.3.2 </w:t>
            </w:r>
            <w:r w:rsidRPr="00923D98" w:rsidR="00C00ED7">
              <w:rPr>
                <w:rFonts w:asciiTheme="minorHAnsi" w:hAnsiTheme="minorHAnsi" w:cstheme="minorHAnsi"/>
                <w:sz w:val="22"/>
                <w:szCs w:val="22"/>
              </w:rPr>
              <w:t>Zavést systém monitoringu léčiv</w:t>
            </w:r>
          </w:p>
        </w:tc>
        <w:tc>
          <w:tcPr>
            <w:tcW w:w="842" w:type="pct"/>
          </w:tcPr>
          <w:p w:rsidR="00960C9E" w:rsidRPr="00923D98" w:rsidP="00960C9E" w14:paraId="19DC49A8" w14:textId="5C7BC156">
            <w:pPr>
              <w:rPr>
                <w:rFonts w:asciiTheme="minorHAnsi" w:hAnsiTheme="minorHAnsi" w:cstheme="minorHAnsi"/>
                <w:sz w:val="22"/>
                <w:szCs w:val="22"/>
              </w:rPr>
            </w:pPr>
            <w:r w:rsidRPr="00923D98">
              <w:rPr>
                <w:rFonts w:asciiTheme="minorHAnsi" w:hAnsiTheme="minorHAnsi" w:cstheme="minorHAnsi"/>
                <w:sz w:val="22"/>
                <w:szCs w:val="22"/>
              </w:rPr>
              <w:t>20 mil. Kč</w:t>
            </w:r>
          </w:p>
        </w:tc>
        <w:tc>
          <w:tcPr>
            <w:tcW w:w="993" w:type="pct"/>
          </w:tcPr>
          <w:p w:rsidR="00960C9E" w:rsidRPr="00923D98" w:rsidP="00960C9E" w14:paraId="33026CDA" w14:textId="0AA50E43">
            <w:pPr>
              <w:rPr>
                <w:rFonts w:asciiTheme="minorHAnsi" w:hAnsiTheme="minorHAnsi" w:cstheme="minorHAnsi"/>
                <w:sz w:val="22"/>
                <w:szCs w:val="22"/>
              </w:rPr>
            </w:pPr>
            <w:r w:rsidRPr="00923D98">
              <w:rPr>
                <w:rFonts w:asciiTheme="minorHAnsi" w:hAnsiTheme="minorHAnsi" w:cstheme="minorHAnsi"/>
                <w:sz w:val="22"/>
                <w:szCs w:val="22"/>
              </w:rPr>
              <w:t>Bude řešeno v rámci běžné agendy MZ</w:t>
            </w:r>
            <w:r w:rsidR="00702C2A">
              <w:rPr>
                <w:rFonts w:asciiTheme="minorHAnsi" w:hAnsiTheme="minorHAnsi" w:cstheme="minorHAnsi"/>
                <w:sz w:val="22"/>
                <w:szCs w:val="22"/>
              </w:rPr>
              <w:t>D</w:t>
            </w:r>
          </w:p>
        </w:tc>
        <w:tc>
          <w:tcPr>
            <w:tcW w:w="715" w:type="pct"/>
          </w:tcPr>
          <w:p w:rsidR="00960C9E" w:rsidRPr="00923D98" w:rsidP="00960C9E" w14:paraId="7F16B139" w14:textId="172C437E">
            <w:pPr>
              <w:rPr>
                <w:rFonts w:asciiTheme="minorHAnsi" w:hAnsiTheme="minorHAnsi" w:cstheme="minorHAnsi"/>
                <w:sz w:val="22"/>
                <w:szCs w:val="22"/>
              </w:rPr>
            </w:pPr>
            <w:r w:rsidRPr="00923D98">
              <w:rPr>
                <w:rFonts w:asciiTheme="minorHAnsi" w:hAnsiTheme="minorHAnsi" w:cstheme="minorHAnsi"/>
                <w:sz w:val="22"/>
                <w:szCs w:val="22"/>
              </w:rPr>
              <w:t>ANO</w:t>
            </w:r>
          </w:p>
        </w:tc>
        <w:tc>
          <w:tcPr>
            <w:tcW w:w="763" w:type="pct"/>
            <w:gridSpan w:val="2"/>
          </w:tcPr>
          <w:p w:rsidR="00960C9E" w:rsidRPr="00923D98" w:rsidP="00960C9E" w14:paraId="2499C33B" w14:textId="2535C1F5">
            <w:pPr>
              <w:rPr>
                <w:rFonts w:asciiTheme="minorHAnsi" w:hAnsiTheme="minorHAnsi" w:cstheme="minorHAnsi"/>
                <w:sz w:val="22"/>
                <w:szCs w:val="22"/>
              </w:rPr>
            </w:pPr>
          </w:p>
        </w:tc>
        <w:tc>
          <w:tcPr>
            <w:tcW w:w="851" w:type="pct"/>
            <w:gridSpan w:val="2"/>
          </w:tcPr>
          <w:p w:rsidR="00960C9E" w:rsidRPr="00923D98" w:rsidP="00960C9E" w14:paraId="39E37B16" w14:textId="02C3DCCE">
            <w:pPr>
              <w:rPr>
                <w:rFonts w:asciiTheme="minorHAnsi" w:hAnsiTheme="minorHAnsi" w:cstheme="minorHAnsi"/>
                <w:sz w:val="22"/>
                <w:szCs w:val="22"/>
              </w:rPr>
            </w:pPr>
          </w:p>
        </w:tc>
      </w:tr>
      <w:tr w14:paraId="6B968C07" w14:textId="77777777" w:rsidTr="006D5074">
        <w:tblPrEx>
          <w:tblW w:w="5000" w:type="pct"/>
          <w:tblCellMar>
            <w:left w:w="70" w:type="dxa"/>
            <w:right w:w="70" w:type="dxa"/>
          </w:tblCellMar>
          <w:tblLook w:val="0000"/>
        </w:tblPrEx>
        <w:trPr>
          <w:trHeight w:hRule="exact" w:val="1088"/>
        </w:trPr>
        <w:tc>
          <w:tcPr>
            <w:tcW w:w="836" w:type="pct"/>
            <w:vAlign w:val="center"/>
          </w:tcPr>
          <w:p w:rsidR="00CC17AC" w:rsidRPr="00923D98" w:rsidP="00CC17AC" w14:paraId="7EE76D13" w14:textId="72A52C09">
            <w:pPr>
              <w:rPr>
                <w:rFonts w:asciiTheme="minorHAnsi" w:hAnsiTheme="minorHAnsi" w:cstheme="minorHAnsi"/>
                <w:sz w:val="22"/>
                <w:szCs w:val="22"/>
              </w:rPr>
            </w:pPr>
            <w:r w:rsidRPr="00923D98">
              <w:rPr>
                <w:rFonts w:asciiTheme="minorHAnsi" w:hAnsiTheme="minorHAnsi" w:cstheme="minorHAnsi"/>
                <w:sz w:val="22"/>
                <w:szCs w:val="22"/>
              </w:rPr>
              <w:t>1.3.3 Zvýšit aktivní zapojení stakeholderů</w:t>
            </w:r>
          </w:p>
        </w:tc>
        <w:tc>
          <w:tcPr>
            <w:tcW w:w="842" w:type="pct"/>
          </w:tcPr>
          <w:p w:rsidR="00CC17AC" w:rsidRPr="00923D98" w:rsidP="00CC17AC" w14:paraId="0F507149" w14:textId="5ED82033">
            <w:pPr>
              <w:rPr>
                <w:rFonts w:asciiTheme="minorHAnsi" w:hAnsiTheme="minorHAnsi" w:cstheme="minorHAnsi"/>
                <w:sz w:val="22"/>
                <w:szCs w:val="22"/>
              </w:rPr>
            </w:pPr>
            <w:r w:rsidRPr="00923D98">
              <w:rPr>
                <w:rFonts w:asciiTheme="minorHAnsi" w:hAnsiTheme="minorHAnsi" w:cstheme="minorHAnsi"/>
                <w:sz w:val="22"/>
                <w:szCs w:val="22"/>
              </w:rPr>
              <w:t>55 mld. Kč</w:t>
            </w:r>
          </w:p>
        </w:tc>
        <w:tc>
          <w:tcPr>
            <w:tcW w:w="993" w:type="pct"/>
          </w:tcPr>
          <w:p w:rsidR="00CC17AC" w:rsidRPr="00923D98" w:rsidP="00CC17AC" w14:paraId="1C16A8E8" w14:textId="7920D89C">
            <w:pPr>
              <w:rPr>
                <w:rFonts w:asciiTheme="minorHAnsi" w:hAnsiTheme="minorHAnsi" w:cstheme="minorHAnsi"/>
                <w:sz w:val="22"/>
                <w:szCs w:val="22"/>
              </w:rPr>
            </w:pPr>
            <w:r w:rsidRPr="00923D98">
              <w:rPr>
                <w:rFonts w:asciiTheme="minorHAnsi" w:hAnsiTheme="minorHAnsi" w:cstheme="minorHAnsi"/>
                <w:sz w:val="22"/>
                <w:szCs w:val="22"/>
              </w:rPr>
              <w:t>Bude řešeno v rámci běžné agendy MZ</w:t>
            </w:r>
            <w:r w:rsidR="00702C2A">
              <w:rPr>
                <w:rFonts w:asciiTheme="minorHAnsi" w:hAnsiTheme="minorHAnsi" w:cstheme="minorHAnsi"/>
                <w:sz w:val="22"/>
                <w:szCs w:val="22"/>
              </w:rPr>
              <w:t>D</w:t>
            </w:r>
          </w:p>
        </w:tc>
        <w:tc>
          <w:tcPr>
            <w:tcW w:w="715" w:type="pct"/>
          </w:tcPr>
          <w:p w:rsidR="00CC17AC" w:rsidRPr="00923D98" w:rsidP="00CC17AC" w14:paraId="2C5A8647" w14:textId="48E0AD5B">
            <w:pPr>
              <w:rPr>
                <w:rFonts w:asciiTheme="minorHAnsi" w:hAnsiTheme="minorHAnsi" w:cstheme="minorHAnsi"/>
                <w:sz w:val="22"/>
                <w:szCs w:val="22"/>
              </w:rPr>
            </w:pPr>
            <w:r w:rsidRPr="00923D98">
              <w:rPr>
                <w:rFonts w:asciiTheme="minorHAnsi" w:hAnsiTheme="minorHAnsi" w:cstheme="minorHAnsi"/>
                <w:sz w:val="22"/>
                <w:szCs w:val="22"/>
              </w:rPr>
              <w:t>ANO</w:t>
            </w:r>
          </w:p>
        </w:tc>
        <w:tc>
          <w:tcPr>
            <w:tcW w:w="763" w:type="pct"/>
            <w:gridSpan w:val="2"/>
          </w:tcPr>
          <w:p w:rsidR="00CC17AC" w:rsidRPr="00923D98" w:rsidP="00CC17AC" w14:paraId="27DE1BE6" w14:textId="07E1A623">
            <w:pPr>
              <w:rPr>
                <w:rFonts w:asciiTheme="minorHAnsi" w:hAnsiTheme="minorHAnsi" w:cstheme="minorHAnsi"/>
                <w:sz w:val="22"/>
                <w:szCs w:val="22"/>
              </w:rPr>
            </w:pPr>
            <w:r w:rsidRPr="00923D98">
              <w:rPr>
                <w:rFonts w:asciiTheme="minorHAnsi" w:hAnsiTheme="minorHAnsi" w:cstheme="minorHAnsi"/>
                <w:sz w:val="22"/>
                <w:szCs w:val="22"/>
              </w:rPr>
              <w:t>Veřejné zdravotní pojištění</w:t>
            </w:r>
          </w:p>
        </w:tc>
        <w:tc>
          <w:tcPr>
            <w:tcW w:w="851" w:type="pct"/>
            <w:gridSpan w:val="2"/>
          </w:tcPr>
          <w:p w:rsidR="00CC17AC" w:rsidRPr="00923D98" w:rsidP="00CC17AC" w14:paraId="0EE112AF" w14:textId="41664583">
            <w:pPr>
              <w:rPr>
                <w:rFonts w:asciiTheme="minorHAnsi" w:hAnsiTheme="minorHAnsi" w:cstheme="minorHAnsi"/>
                <w:sz w:val="22"/>
                <w:szCs w:val="22"/>
              </w:rPr>
            </w:pPr>
          </w:p>
        </w:tc>
      </w:tr>
      <w:tr w14:paraId="61769CC1" w14:textId="77777777" w:rsidTr="006D5074">
        <w:tblPrEx>
          <w:tblW w:w="5000" w:type="pct"/>
          <w:tblCellMar>
            <w:left w:w="70" w:type="dxa"/>
            <w:right w:w="70" w:type="dxa"/>
          </w:tblCellMar>
          <w:tblLook w:val="0000"/>
        </w:tblPrEx>
        <w:trPr>
          <w:trHeight w:hRule="exact" w:val="1415"/>
        </w:trPr>
        <w:tc>
          <w:tcPr>
            <w:tcW w:w="836" w:type="pct"/>
            <w:shd w:val="clear" w:color="auto" w:fill="auto"/>
            <w:vAlign w:val="center"/>
          </w:tcPr>
          <w:p w:rsidR="00CC17AC" w:rsidRPr="00923D98" w:rsidP="00CC17AC" w14:paraId="0986DB30" w14:textId="16C777DD">
            <w:pPr>
              <w:rPr>
                <w:rFonts w:asciiTheme="minorHAnsi" w:hAnsiTheme="minorHAnsi" w:cstheme="minorHAnsi"/>
                <w:sz w:val="22"/>
                <w:szCs w:val="22"/>
              </w:rPr>
            </w:pPr>
            <w:r w:rsidRPr="00923D98">
              <w:rPr>
                <w:rFonts w:asciiTheme="minorHAnsi" w:hAnsiTheme="minorHAnsi" w:cstheme="minorHAnsi"/>
                <w:sz w:val="22"/>
                <w:szCs w:val="22"/>
              </w:rPr>
              <w:t>1.3.4 Modernizovat způsoby výdeje léčiv</w:t>
            </w:r>
          </w:p>
        </w:tc>
        <w:tc>
          <w:tcPr>
            <w:tcW w:w="842" w:type="pct"/>
            <w:shd w:val="clear" w:color="auto" w:fill="auto"/>
          </w:tcPr>
          <w:p w:rsidR="00CC17AC" w:rsidRPr="00923D98" w:rsidP="00CC17AC" w14:paraId="1593709F" w14:textId="61200DB3">
            <w:pPr>
              <w:rPr>
                <w:rFonts w:asciiTheme="minorHAnsi" w:hAnsiTheme="minorHAnsi" w:cstheme="minorHAnsi"/>
                <w:sz w:val="22"/>
                <w:szCs w:val="22"/>
              </w:rPr>
            </w:pPr>
            <w:r w:rsidRPr="00923D98">
              <w:rPr>
                <w:rFonts w:asciiTheme="minorHAnsi" w:hAnsiTheme="minorHAnsi" w:cstheme="minorHAnsi"/>
                <w:sz w:val="22"/>
                <w:szCs w:val="22"/>
              </w:rPr>
              <w:t>100 mil. Kč</w:t>
            </w:r>
          </w:p>
        </w:tc>
        <w:tc>
          <w:tcPr>
            <w:tcW w:w="993" w:type="pct"/>
            <w:shd w:val="clear" w:color="auto" w:fill="auto"/>
          </w:tcPr>
          <w:p w:rsidR="00CC17AC" w:rsidRPr="00923D98" w:rsidP="00CC17AC" w14:paraId="54542F5E" w14:textId="7C22C251">
            <w:pPr>
              <w:rPr>
                <w:rFonts w:asciiTheme="minorHAnsi" w:hAnsiTheme="minorHAnsi" w:cstheme="minorHAnsi"/>
                <w:sz w:val="22"/>
                <w:szCs w:val="22"/>
              </w:rPr>
            </w:pPr>
            <w:r w:rsidRPr="00923D98">
              <w:rPr>
                <w:rFonts w:asciiTheme="minorHAnsi" w:hAnsiTheme="minorHAnsi" w:cstheme="minorHAnsi"/>
                <w:sz w:val="22"/>
                <w:szCs w:val="22"/>
              </w:rPr>
              <w:t>Bude řešeno v rámci běžné agendy MZ</w:t>
            </w:r>
            <w:r w:rsidR="00702C2A">
              <w:rPr>
                <w:rFonts w:asciiTheme="minorHAnsi" w:hAnsiTheme="minorHAnsi" w:cstheme="minorHAnsi"/>
                <w:sz w:val="22"/>
                <w:szCs w:val="22"/>
              </w:rPr>
              <w:t>D</w:t>
            </w:r>
          </w:p>
        </w:tc>
        <w:tc>
          <w:tcPr>
            <w:tcW w:w="715" w:type="pct"/>
            <w:shd w:val="clear" w:color="auto" w:fill="auto"/>
          </w:tcPr>
          <w:p w:rsidR="00CC17AC" w:rsidRPr="00923D98" w:rsidP="00CC17AC" w14:paraId="3CAA1E69" w14:textId="7875FFF9">
            <w:pPr>
              <w:rPr>
                <w:rFonts w:asciiTheme="minorHAnsi" w:hAnsiTheme="minorHAnsi" w:cstheme="minorHAnsi"/>
                <w:sz w:val="22"/>
                <w:szCs w:val="22"/>
              </w:rPr>
            </w:pPr>
            <w:r w:rsidRPr="00923D98">
              <w:rPr>
                <w:rFonts w:asciiTheme="minorHAnsi" w:hAnsiTheme="minorHAnsi" w:cstheme="minorHAnsi"/>
                <w:sz w:val="22"/>
                <w:szCs w:val="22"/>
              </w:rPr>
              <w:t>ANO</w:t>
            </w:r>
          </w:p>
        </w:tc>
        <w:tc>
          <w:tcPr>
            <w:tcW w:w="763" w:type="pct"/>
            <w:gridSpan w:val="2"/>
            <w:shd w:val="clear" w:color="auto" w:fill="auto"/>
          </w:tcPr>
          <w:p w:rsidR="00CC17AC" w:rsidRPr="00923D98" w:rsidP="00CC17AC" w14:paraId="655D863F" w14:textId="092C7ECF">
            <w:pPr>
              <w:rPr>
                <w:rFonts w:asciiTheme="minorHAnsi" w:hAnsiTheme="minorHAnsi" w:cstheme="minorHAnsi"/>
                <w:sz w:val="22"/>
                <w:szCs w:val="22"/>
              </w:rPr>
            </w:pPr>
            <w:r w:rsidRPr="00923D98">
              <w:rPr>
                <w:rFonts w:asciiTheme="minorHAnsi" w:hAnsiTheme="minorHAnsi" w:cstheme="minorHAnsi"/>
                <w:sz w:val="22"/>
                <w:szCs w:val="22"/>
              </w:rPr>
              <w:t>Státní rozpočet</w:t>
            </w:r>
          </w:p>
        </w:tc>
        <w:tc>
          <w:tcPr>
            <w:tcW w:w="851" w:type="pct"/>
            <w:gridSpan w:val="2"/>
            <w:shd w:val="clear" w:color="auto" w:fill="auto"/>
          </w:tcPr>
          <w:p w:rsidR="00CC17AC" w:rsidRPr="00923D98" w:rsidP="00CC17AC" w14:paraId="4FF41280" w14:textId="4BED7751">
            <w:pPr>
              <w:rPr>
                <w:rFonts w:asciiTheme="minorHAnsi" w:hAnsiTheme="minorHAnsi" w:cstheme="minorHAnsi"/>
                <w:sz w:val="22"/>
                <w:szCs w:val="22"/>
              </w:rPr>
            </w:pPr>
          </w:p>
        </w:tc>
      </w:tr>
      <w:tr w14:paraId="6E393508" w14:textId="77777777" w:rsidTr="006D5074">
        <w:tblPrEx>
          <w:tblW w:w="5000" w:type="pct"/>
          <w:tblCellMar>
            <w:left w:w="70" w:type="dxa"/>
            <w:right w:w="70" w:type="dxa"/>
          </w:tblCellMar>
          <w:tblLook w:val="0000"/>
        </w:tblPrEx>
        <w:trPr>
          <w:trHeight w:hRule="exact" w:val="6394"/>
        </w:trPr>
        <w:tc>
          <w:tcPr>
            <w:tcW w:w="836" w:type="pct"/>
          </w:tcPr>
          <w:p w:rsidR="00B072FC" w:rsidRPr="00923D98" w:rsidP="00B072FC" w14:paraId="5AB706F9" w14:textId="77777777">
            <w:pPr>
              <w:rPr>
                <w:rFonts w:asciiTheme="minorHAnsi" w:hAnsiTheme="minorHAnsi" w:cstheme="minorHAnsi"/>
                <w:sz w:val="22"/>
                <w:szCs w:val="22"/>
              </w:rPr>
            </w:pPr>
            <w:r w:rsidRPr="00923D98">
              <w:rPr>
                <w:rFonts w:asciiTheme="minorHAnsi" w:hAnsiTheme="minorHAnsi" w:cstheme="minorHAnsi"/>
                <w:sz w:val="22"/>
                <w:szCs w:val="22"/>
              </w:rPr>
              <w:t xml:space="preserve">1.3.5 Zvýšit hospodářskou podporu výroby léčiv </w:t>
            </w:r>
          </w:p>
          <w:p w:rsidR="00B072FC" w:rsidRPr="00923D98" w:rsidP="00B072FC" w14:paraId="0F94993E" w14:textId="3A936C14">
            <w:pPr>
              <w:rPr>
                <w:rFonts w:asciiTheme="minorHAnsi" w:hAnsiTheme="minorHAnsi" w:cstheme="minorHAnsi"/>
                <w:i/>
                <w:iCs/>
                <w:sz w:val="22"/>
                <w:szCs w:val="22"/>
              </w:rPr>
            </w:pPr>
            <w:r w:rsidRPr="00923D98">
              <w:rPr>
                <w:rFonts w:asciiTheme="minorHAnsi" w:hAnsiTheme="minorHAnsi" w:cstheme="minorHAnsi"/>
                <w:i/>
                <w:iCs/>
                <w:sz w:val="22"/>
                <w:szCs w:val="22"/>
              </w:rPr>
              <w:t>(viz Hospodářská strategie a opatření „Posílení soběstačnosti ve výrobě humánních léčiv a léčivých látek tzv. API (aktivní ingredience)“)</w:t>
            </w:r>
          </w:p>
        </w:tc>
        <w:tc>
          <w:tcPr>
            <w:tcW w:w="842" w:type="pct"/>
          </w:tcPr>
          <w:p w:rsidR="00B072FC" w:rsidRPr="00923D98" w:rsidP="00B072FC" w14:paraId="1C057066" w14:textId="77777777">
            <w:pPr>
              <w:rPr>
                <w:rFonts w:asciiTheme="minorHAnsi" w:hAnsiTheme="minorHAnsi" w:cstheme="minorHAnsi"/>
                <w:sz w:val="22"/>
                <w:szCs w:val="22"/>
              </w:rPr>
            </w:pPr>
            <w:r w:rsidRPr="00923D98">
              <w:rPr>
                <w:rFonts w:asciiTheme="minorHAnsi" w:hAnsiTheme="minorHAnsi" w:cstheme="minorHAnsi"/>
                <w:sz w:val="22"/>
                <w:szCs w:val="22"/>
              </w:rPr>
              <w:t>1750 mil. Kč</w:t>
            </w:r>
          </w:p>
          <w:p w:rsidR="00B072FC" w:rsidRPr="00923D98" w:rsidP="00B072FC" w14:paraId="17B5AC62" w14:textId="77777777">
            <w:pPr>
              <w:rPr>
                <w:rFonts w:asciiTheme="minorHAnsi" w:hAnsiTheme="minorHAnsi" w:cstheme="minorHAnsi"/>
                <w:sz w:val="22"/>
                <w:szCs w:val="22"/>
              </w:rPr>
            </w:pPr>
          </w:p>
          <w:p w:rsidR="00B072FC" w:rsidRPr="00923D98" w:rsidP="00B072FC" w14:paraId="4C125626" w14:textId="77777777">
            <w:pPr>
              <w:rPr>
                <w:rFonts w:asciiTheme="minorHAnsi" w:hAnsiTheme="minorHAnsi" w:cstheme="minorHAnsi"/>
                <w:sz w:val="22"/>
                <w:szCs w:val="22"/>
              </w:rPr>
            </w:pPr>
          </w:p>
          <w:p w:rsidR="00B072FC" w:rsidRPr="00923D98" w:rsidP="00B072FC" w14:paraId="2FA2EF57" w14:textId="6F91EBDC">
            <w:pPr>
              <w:rPr>
                <w:rFonts w:asciiTheme="minorHAnsi" w:hAnsiTheme="minorHAnsi" w:cstheme="minorHAnsi"/>
                <w:sz w:val="22"/>
                <w:szCs w:val="22"/>
              </w:rPr>
            </w:pPr>
            <w:r w:rsidRPr="00923D98">
              <w:rPr>
                <w:rFonts w:asciiTheme="minorHAnsi" w:hAnsiTheme="minorHAnsi" w:cstheme="minorHAnsi"/>
                <w:sz w:val="22"/>
                <w:szCs w:val="22"/>
              </w:rPr>
              <w:t>1250 mil. Kč</w:t>
            </w:r>
          </w:p>
          <w:p w:rsidR="00B072FC" w:rsidRPr="00923D98" w:rsidP="00B072FC" w14:paraId="18C497E0" w14:textId="77777777">
            <w:pPr>
              <w:rPr>
                <w:rFonts w:asciiTheme="minorHAnsi" w:hAnsiTheme="minorHAnsi" w:cstheme="minorHAnsi"/>
                <w:sz w:val="22"/>
                <w:szCs w:val="22"/>
              </w:rPr>
            </w:pPr>
          </w:p>
          <w:p w:rsidR="00B072FC" w:rsidRPr="00923D98" w:rsidP="00B072FC" w14:paraId="490339DA" w14:textId="77777777">
            <w:pPr>
              <w:rPr>
                <w:rFonts w:asciiTheme="minorHAnsi" w:hAnsiTheme="minorHAnsi" w:cstheme="minorHAnsi"/>
                <w:sz w:val="22"/>
                <w:szCs w:val="22"/>
              </w:rPr>
            </w:pPr>
            <w:r w:rsidRPr="00923D98">
              <w:rPr>
                <w:rFonts w:asciiTheme="minorHAnsi" w:hAnsiTheme="minorHAnsi" w:cstheme="minorHAnsi"/>
                <w:sz w:val="22"/>
                <w:szCs w:val="22"/>
              </w:rPr>
              <w:t>1000 mil. Kč</w:t>
            </w:r>
          </w:p>
          <w:p w:rsidR="00B072FC" w:rsidRPr="00923D98" w:rsidP="00B072FC" w14:paraId="52C78ECD" w14:textId="77777777">
            <w:pPr>
              <w:rPr>
                <w:rFonts w:asciiTheme="minorHAnsi" w:hAnsiTheme="minorHAnsi" w:cstheme="minorHAnsi"/>
                <w:sz w:val="22"/>
                <w:szCs w:val="22"/>
              </w:rPr>
            </w:pPr>
          </w:p>
        </w:tc>
        <w:tc>
          <w:tcPr>
            <w:tcW w:w="993" w:type="pct"/>
          </w:tcPr>
          <w:p w:rsidR="00B072FC" w:rsidRPr="00923D98" w:rsidP="00B072FC" w14:paraId="4CBE3FEA" w14:textId="5C85A21F">
            <w:pPr>
              <w:spacing w:after="120"/>
              <w:rPr>
                <w:rFonts w:asciiTheme="minorHAnsi" w:hAnsiTheme="minorHAnsi" w:cstheme="minorHAnsi"/>
                <w:sz w:val="22"/>
                <w:szCs w:val="22"/>
              </w:rPr>
            </w:pPr>
            <w:r w:rsidRPr="00923D98">
              <w:rPr>
                <w:rFonts w:asciiTheme="minorHAnsi" w:hAnsiTheme="minorHAnsi" w:cstheme="minorHAnsi"/>
                <w:sz w:val="22"/>
                <w:szCs w:val="22"/>
              </w:rPr>
              <w:t>Bude řešeno v rámci běžné agendy MZ</w:t>
            </w:r>
            <w:r w:rsidR="00702C2A">
              <w:rPr>
                <w:rFonts w:asciiTheme="minorHAnsi" w:hAnsiTheme="minorHAnsi" w:cstheme="minorHAnsi"/>
                <w:sz w:val="22"/>
                <w:szCs w:val="22"/>
              </w:rPr>
              <w:t>D</w:t>
            </w:r>
          </w:p>
        </w:tc>
        <w:tc>
          <w:tcPr>
            <w:tcW w:w="715" w:type="pct"/>
          </w:tcPr>
          <w:p w:rsidR="00B072FC" w:rsidRPr="00923D98" w:rsidP="00B072FC" w14:paraId="39A6CDFF" w14:textId="77777777">
            <w:pPr>
              <w:rPr>
                <w:rFonts w:asciiTheme="minorHAnsi" w:hAnsiTheme="minorHAnsi" w:cstheme="minorHAnsi"/>
                <w:sz w:val="22"/>
                <w:szCs w:val="22"/>
              </w:rPr>
            </w:pPr>
          </w:p>
        </w:tc>
        <w:tc>
          <w:tcPr>
            <w:tcW w:w="763" w:type="pct"/>
            <w:gridSpan w:val="2"/>
          </w:tcPr>
          <w:p w:rsidR="00B072FC" w:rsidRPr="00923D98" w:rsidP="00B072FC" w14:paraId="319FFBE3" w14:textId="635C299B">
            <w:pPr>
              <w:rPr>
                <w:rFonts w:asciiTheme="minorHAnsi" w:hAnsiTheme="minorHAnsi" w:cstheme="minorHAnsi"/>
                <w:sz w:val="22"/>
                <w:szCs w:val="22"/>
              </w:rPr>
            </w:pPr>
          </w:p>
        </w:tc>
        <w:tc>
          <w:tcPr>
            <w:tcW w:w="851" w:type="pct"/>
            <w:gridSpan w:val="2"/>
          </w:tcPr>
          <w:p w:rsidR="00B072FC" w:rsidRPr="00923D98" w:rsidP="00B072FC" w14:paraId="105A784E" w14:textId="77777777">
            <w:pPr>
              <w:rPr>
                <w:rFonts w:asciiTheme="minorHAnsi" w:hAnsiTheme="minorHAnsi" w:cstheme="minorHAnsi"/>
                <w:sz w:val="22"/>
                <w:szCs w:val="22"/>
              </w:rPr>
            </w:pPr>
          </w:p>
          <w:p w:rsidR="006D5074" w:rsidRPr="00923D98" w:rsidP="006D5074" w14:paraId="39FA0B13" w14:textId="77777777">
            <w:pPr>
              <w:rPr>
                <w:rFonts w:asciiTheme="minorHAnsi" w:hAnsiTheme="minorHAnsi" w:cstheme="minorHAnsi"/>
                <w:sz w:val="22"/>
                <w:szCs w:val="22"/>
              </w:rPr>
            </w:pPr>
            <w:r w:rsidRPr="00923D98">
              <w:rPr>
                <w:rFonts w:asciiTheme="minorHAnsi" w:hAnsiTheme="minorHAnsi" w:cstheme="minorHAnsi"/>
                <w:sz w:val="22"/>
                <w:szCs w:val="22"/>
              </w:rPr>
              <w:t>Státní rozpočet</w:t>
            </w:r>
          </w:p>
          <w:p w:rsidR="006D5074" w:rsidRPr="00923D98" w:rsidP="006D5074" w14:paraId="4887AB39" w14:textId="77777777">
            <w:pPr>
              <w:rPr>
                <w:rFonts w:asciiTheme="minorHAnsi" w:hAnsiTheme="minorHAnsi" w:cstheme="minorHAnsi"/>
                <w:sz w:val="22"/>
                <w:szCs w:val="22"/>
              </w:rPr>
            </w:pPr>
          </w:p>
          <w:p w:rsidR="006D5074" w:rsidRPr="00923D98" w:rsidP="006D5074" w14:paraId="17C082F3" w14:textId="77777777">
            <w:pPr>
              <w:rPr>
                <w:rFonts w:asciiTheme="minorHAnsi" w:hAnsiTheme="minorHAnsi" w:cstheme="minorHAnsi"/>
                <w:sz w:val="22"/>
                <w:szCs w:val="22"/>
              </w:rPr>
            </w:pPr>
          </w:p>
          <w:p w:rsidR="006D5074" w:rsidRPr="00923D98" w:rsidP="006D5074" w14:paraId="4F6C6491" w14:textId="77777777">
            <w:pPr>
              <w:rPr>
                <w:rFonts w:asciiTheme="minorHAnsi" w:hAnsiTheme="minorHAnsi" w:cstheme="minorHAnsi"/>
                <w:sz w:val="22"/>
                <w:szCs w:val="22"/>
              </w:rPr>
            </w:pPr>
            <w:r w:rsidRPr="00923D98">
              <w:rPr>
                <w:rFonts w:asciiTheme="minorHAnsi" w:hAnsiTheme="minorHAnsi" w:cstheme="minorHAnsi"/>
                <w:sz w:val="22"/>
                <w:szCs w:val="22"/>
              </w:rPr>
              <w:t>Soukromé zdroje</w:t>
            </w:r>
          </w:p>
          <w:p w:rsidR="006D5074" w:rsidRPr="00923D98" w:rsidP="006D5074" w14:paraId="0C5AE2AD" w14:textId="77777777">
            <w:pPr>
              <w:rPr>
                <w:rFonts w:asciiTheme="minorHAnsi" w:hAnsiTheme="minorHAnsi" w:cstheme="minorHAnsi"/>
                <w:sz w:val="22"/>
                <w:szCs w:val="22"/>
              </w:rPr>
            </w:pPr>
          </w:p>
          <w:p w:rsidR="006D5074" w:rsidRPr="00923D98" w:rsidP="006D5074" w14:paraId="15B6ABB7" w14:textId="77777777">
            <w:pPr>
              <w:rPr>
                <w:rFonts w:asciiTheme="minorHAnsi" w:hAnsiTheme="minorHAnsi" w:cstheme="minorHAnsi"/>
                <w:i/>
                <w:iCs/>
                <w:sz w:val="22"/>
                <w:szCs w:val="22"/>
              </w:rPr>
            </w:pPr>
            <w:r w:rsidRPr="00923D98">
              <w:rPr>
                <w:rFonts w:asciiTheme="minorHAnsi" w:hAnsiTheme="minorHAnsi" w:cstheme="minorHAnsi"/>
                <w:sz w:val="22"/>
                <w:szCs w:val="22"/>
              </w:rPr>
              <w:t xml:space="preserve">EU zdroje </w:t>
            </w:r>
            <w:r w:rsidRPr="00923D98">
              <w:rPr>
                <w:rFonts w:asciiTheme="minorHAnsi" w:hAnsiTheme="minorHAnsi" w:cstheme="minorHAnsi"/>
                <w:i/>
                <w:iCs/>
                <w:sz w:val="22"/>
                <w:szCs w:val="22"/>
              </w:rPr>
              <w:t>(potenciál využití evropských programů v oblasti vědy a výzkumu, dále pro zdravotnickou</w:t>
            </w:r>
          </w:p>
          <w:p w:rsidR="006D5074" w:rsidRPr="00923D98" w:rsidP="006D5074" w14:paraId="1BE64D0C" w14:textId="77777777">
            <w:pPr>
              <w:rPr>
                <w:rFonts w:asciiTheme="minorHAnsi" w:hAnsiTheme="minorHAnsi" w:cstheme="minorHAnsi"/>
                <w:i/>
                <w:iCs/>
                <w:sz w:val="22"/>
                <w:szCs w:val="22"/>
              </w:rPr>
            </w:pPr>
            <w:r w:rsidRPr="00923D98">
              <w:rPr>
                <w:rFonts w:asciiTheme="minorHAnsi" w:hAnsiTheme="minorHAnsi" w:cstheme="minorHAnsi"/>
                <w:i/>
                <w:iCs/>
                <w:sz w:val="22"/>
                <w:szCs w:val="22"/>
              </w:rPr>
              <w:t>oblast, např. EU4Health, a dále finanční nástroje dle návrhu Critical Medicines</w:t>
            </w:r>
          </w:p>
          <w:p w:rsidR="00B072FC" w:rsidRPr="00923D98" w:rsidP="006D5074" w14:paraId="4F398F3F" w14:textId="6D26765C">
            <w:pPr>
              <w:rPr>
                <w:rFonts w:asciiTheme="minorHAnsi" w:hAnsiTheme="minorHAnsi" w:cstheme="minorHAnsi"/>
                <w:sz w:val="22"/>
                <w:szCs w:val="22"/>
              </w:rPr>
            </w:pPr>
            <w:r w:rsidRPr="00923D98">
              <w:rPr>
                <w:rFonts w:asciiTheme="minorHAnsi" w:hAnsiTheme="minorHAnsi" w:cstheme="minorHAnsi"/>
                <w:i/>
                <w:iCs/>
                <w:sz w:val="22"/>
                <w:szCs w:val="22"/>
              </w:rPr>
              <w:t>Act), pravděpodobně však až ve víceletém finančním rámci 2028+)</w:t>
            </w:r>
          </w:p>
        </w:tc>
      </w:tr>
      <w:tr w14:paraId="4EDC4EA8" w14:textId="77777777" w:rsidTr="006D5074">
        <w:tblPrEx>
          <w:tblW w:w="5000" w:type="pct"/>
          <w:tblCellMar>
            <w:left w:w="70" w:type="dxa"/>
            <w:right w:w="70" w:type="dxa"/>
          </w:tblCellMar>
          <w:tblLook w:val="0000"/>
        </w:tblPrEx>
        <w:trPr>
          <w:trHeight w:hRule="exact" w:val="4528"/>
        </w:trPr>
        <w:tc>
          <w:tcPr>
            <w:tcW w:w="836" w:type="pct"/>
          </w:tcPr>
          <w:p w:rsidR="006D5074" w:rsidRPr="00923D98" w:rsidP="006D5074" w14:paraId="13C7D38A" w14:textId="09A23EBC">
            <w:pPr>
              <w:rPr>
                <w:rFonts w:asciiTheme="minorHAnsi" w:hAnsiTheme="minorHAnsi" w:cstheme="minorHAnsi"/>
                <w:sz w:val="22"/>
                <w:szCs w:val="22"/>
              </w:rPr>
            </w:pPr>
            <w:r w:rsidRPr="00923D98">
              <w:rPr>
                <w:rFonts w:asciiTheme="minorHAnsi" w:hAnsiTheme="minorHAnsi" w:cstheme="minorHAnsi"/>
                <w:sz w:val="22"/>
                <w:szCs w:val="22"/>
              </w:rPr>
              <w:t>1.3.6 Stabilizovat finanční udržitelnost lékové politiky</w:t>
            </w:r>
          </w:p>
        </w:tc>
        <w:tc>
          <w:tcPr>
            <w:tcW w:w="842" w:type="pct"/>
          </w:tcPr>
          <w:p w:rsidR="006D5074" w:rsidRPr="00923D98" w:rsidP="006D5074" w14:paraId="740B0443" w14:textId="3B35D225">
            <w:pPr>
              <w:rPr>
                <w:rFonts w:asciiTheme="minorHAnsi" w:hAnsiTheme="minorHAnsi" w:cstheme="minorHAnsi"/>
                <w:sz w:val="22"/>
                <w:szCs w:val="22"/>
              </w:rPr>
            </w:pPr>
            <w:r w:rsidRPr="00923D98">
              <w:rPr>
                <w:rFonts w:asciiTheme="minorHAnsi" w:hAnsiTheme="minorHAnsi" w:cstheme="minorHAnsi"/>
                <w:sz w:val="22"/>
                <w:szCs w:val="22"/>
              </w:rPr>
              <w:t>N/A</w:t>
            </w:r>
          </w:p>
        </w:tc>
        <w:tc>
          <w:tcPr>
            <w:tcW w:w="993" w:type="pct"/>
          </w:tcPr>
          <w:p w:rsidR="006D5074" w:rsidRPr="00923D98" w:rsidP="006D5074" w14:paraId="65AF61D8" w14:textId="6E7A8900">
            <w:pPr>
              <w:spacing w:after="120"/>
              <w:rPr>
                <w:rFonts w:asciiTheme="minorHAnsi" w:hAnsiTheme="minorHAnsi" w:cstheme="minorHAnsi"/>
                <w:i/>
                <w:iCs/>
                <w:sz w:val="22"/>
                <w:szCs w:val="22"/>
              </w:rPr>
            </w:pPr>
          </w:p>
        </w:tc>
        <w:tc>
          <w:tcPr>
            <w:tcW w:w="715" w:type="pct"/>
          </w:tcPr>
          <w:p w:rsidR="006D5074" w:rsidRPr="00923D98" w:rsidP="006D5074" w14:paraId="14497DB4" w14:textId="77777777">
            <w:pPr>
              <w:rPr>
                <w:rFonts w:asciiTheme="minorHAnsi" w:hAnsiTheme="minorHAnsi" w:cstheme="minorHAnsi"/>
                <w:sz w:val="22"/>
                <w:szCs w:val="22"/>
              </w:rPr>
            </w:pPr>
          </w:p>
        </w:tc>
        <w:tc>
          <w:tcPr>
            <w:tcW w:w="785" w:type="pct"/>
            <w:gridSpan w:val="3"/>
          </w:tcPr>
          <w:p w:rsidR="006D5074" w:rsidRPr="00923D98" w:rsidP="006D5074" w14:paraId="74E02507" w14:textId="77777777">
            <w:pPr>
              <w:rPr>
                <w:rFonts w:asciiTheme="minorHAnsi" w:hAnsiTheme="minorHAnsi" w:cstheme="minorHAnsi"/>
                <w:sz w:val="22"/>
                <w:szCs w:val="22"/>
              </w:rPr>
            </w:pPr>
          </w:p>
        </w:tc>
        <w:tc>
          <w:tcPr>
            <w:tcW w:w="829" w:type="pct"/>
          </w:tcPr>
          <w:p w:rsidR="006D5074" w:rsidRPr="00923D98" w:rsidP="006D5074" w14:paraId="62681AE3" w14:textId="1420615C">
            <w:pPr>
              <w:rPr>
                <w:rFonts w:asciiTheme="minorHAnsi" w:hAnsiTheme="minorHAnsi" w:cstheme="minorHAnsi"/>
                <w:sz w:val="22"/>
                <w:szCs w:val="22"/>
              </w:rPr>
            </w:pPr>
            <w:r w:rsidRPr="00923D98">
              <w:rPr>
                <w:rFonts w:asciiTheme="minorHAnsi" w:hAnsiTheme="minorHAnsi" w:cstheme="minorHAnsi"/>
                <w:i/>
                <w:iCs/>
                <w:sz w:val="22"/>
                <w:szCs w:val="22"/>
              </w:rPr>
              <w:t>Budou stanoveny při další aktualizaci (či průběžně) po úpravě legislativy s ohledem na obsah legislativních změn a dopadu na jednotlivé subjekty. Nyní nelze definovat požadované hodnoty, obsah se stále diskutuje na expertní úrovni.</w:t>
            </w:r>
          </w:p>
        </w:tc>
      </w:tr>
      <w:tr w14:paraId="7038370C" w14:textId="77777777" w:rsidTr="006D5074">
        <w:tblPrEx>
          <w:tblW w:w="5000" w:type="pct"/>
          <w:tblCellMar>
            <w:left w:w="70" w:type="dxa"/>
            <w:right w:w="70" w:type="dxa"/>
          </w:tblCellMar>
          <w:tblLook w:val="0000"/>
        </w:tblPrEx>
        <w:trPr>
          <w:trHeight w:hRule="exact" w:val="1841"/>
        </w:trPr>
        <w:tc>
          <w:tcPr>
            <w:tcW w:w="836" w:type="pct"/>
          </w:tcPr>
          <w:p w:rsidR="006D5074" w:rsidRPr="00923D98" w:rsidP="006D5074" w14:paraId="635307EA" w14:textId="31CE74BE">
            <w:pPr>
              <w:rPr>
                <w:rFonts w:asciiTheme="minorHAnsi" w:hAnsiTheme="minorHAnsi" w:cstheme="minorHAnsi"/>
                <w:sz w:val="22"/>
                <w:szCs w:val="22"/>
              </w:rPr>
            </w:pPr>
            <w:r w:rsidRPr="00923D98">
              <w:rPr>
                <w:rFonts w:asciiTheme="minorHAnsi" w:hAnsiTheme="minorHAnsi" w:cstheme="minorHAnsi"/>
                <w:sz w:val="22"/>
                <w:szCs w:val="22"/>
              </w:rPr>
              <w:t>1.3.7 Zajistit rozvoj kapacit správních úřadů v oblasti lékové politiky státu</w:t>
            </w:r>
          </w:p>
        </w:tc>
        <w:tc>
          <w:tcPr>
            <w:tcW w:w="842" w:type="pct"/>
          </w:tcPr>
          <w:p w:rsidR="006D5074" w:rsidRPr="00923D98" w:rsidP="006D5074" w14:paraId="036395C5" w14:textId="6D9F598C">
            <w:pPr>
              <w:rPr>
                <w:rFonts w:asciiTheme="minorHAnsi" w:hAnsiTheme="minorHAnsi" w:cstheme="minorHAnsi"/>
                <w:sz w:val="22"/>
                <w:szCs w:val="22"/>
              </w:rPr>
            </w:pPr>
            <w:r w:rsidRPr="00923D98">
              <w:rPr>
                <w:rFonts w:asciiTheme="minorHAnsi" w:hAnsiTheme="minorHAnsi" w:cstheme="minorHAnsi"/>
                <w:sz w:val="22"/>
                <w:szCs w:val="22"/>
              </w:rPr>
              <w:t>1,</w:t>
            </w:r>
            <w:r>
              <w:rPr>
                <w:rFonts w:asciiTheme="minorHAnsi" w:hAnsiTheme="minorHAnsi" w:cstheme="minorHAnsi"/>
                <w:sz w:val="22"/>
                <w:szCs w:val="22"/>
              </w:rPr>
              <w:t>5</w:t>
            </w:r>
            <w:r w:rsidRPr="00923D98">
              <w:rPr>
                <w:rFonts w:asciiTheme="minorHAnsi" w:hAnsiTheme="minorHAnsi" w:cstheme="minorHAnsi"/>
                <w:sz w:val="22"/>
                <w:szCs w:val="22"/>
              </w:rPr>
              <w:t xml:space="preserve"> mld. Kč</w:t>
            </w:r>
          </w:p>
        </w:tc>
        <w:tc>
          <w:tcPr>
            <w:tcW w:w="993" w:type="pct"/>
          </w:tcPr>
          <w:p w:rsidR="006D5074" w:rsidRPr="00923D98" w:rsidP="006D5074" w14:paraId="1E75606A" w14:textId="1C8FBF4B">
            <w:pPr>
              <w:spacing w:after="120"/>
              <w:rPr>
                <w:rFonts w:asciiTheme="minorHAnsi" w:hAnsiTheme="minorHAnsi" w:cstheme="minorHAnsi"/>
                <w:sz w:val="22"/>
                <w:szCs w:val="22"/>
              </w:rPr>
            </w:pPr>
          </w:p>
        </w:tc>
        <w:tc>
          <w:tcPr>
            <w:tcW w:w="715" w:type="pct"/>
          </w:tcPr>
          <w:p w:rsidR="006D5074" w:rsidRPr="00923D98" w:rsidP="006D5074" w14:paraId="18007EAE" w14:textId="522C4FF3">
            <w:pPr>
              <w:rPr>
                <w:rFonts w:asciiTheme="minorHAnsi" w:hAnsiTheme="minorHAnsi" w:cstheme="minorHAnsi"/>
                <w:sz w:val="22"/>
                <w:szCs w:val="22"/>
              </w:rPr>
            </w:pPr>
            <w:r w:rsidRPr="00923D98">
              <w:rPr>
                <w:rFonts w:asciiTheme="minorHAnsi" w:hAnsiTheme="minorHAnsi" w:cstheme="minorHAnsi"/>
                <w:sz w:val="22"/>
                <w:szCs w:val="22"/>
              </w:rPr>
              <w:t>ANO</w:t>
            </w:r>
          </w:p>
        </w:tc>
        <w:tc>
          <w:tcPr>
            <w:tcW w:w="671" w:type="pct"/>
          </w:tcPr>
          <w:p w:rsidR="006D5074" w:rsidRPr="00923D98" w:rsidP="006D5074" w14:paraId="4907CE25" w14:textId="7862862B">
            <w:pPr>
              <w:rPr>
                <w:rFonts w:asciiTheme="minorHAnsi" w:hAnsiTheme="minorHAnsi" w:cstheme="minorHAnsi"/>
                <w:sz w:val="22"/>
                <w:szCs w:val="22"/>
              </w:rPr>
            </w:pPr>
            <w:r>
              <w:rPr>
                <w:rFonts w:asciiTheme="minorHAnsi" w:hAnsiTheme="minorHAnsi" w:cstheme="minorHAnsi"/>
                <w:sz w:val="22"/>
                <w:szCs w:val="22"/>
              </w:rPr>
              <w:t>NE</w:t>
            </w:r>
          </w:p>
        </w:tc>
        <w:tc>
          <w:tcPr>
            <w:tcW w:w="942" w:type="pct"/>
            <w:gridSpan w:val="3"/>
          </w:tcPr>
          <w:p w:rsidR="006D5074" w:rsidRPr="00923D98" w:rsidP="006D5074" w14:paraId="66088737" w14:textId="07255FAF">
            <w:pPr>
              <w:rPr>
                <w:rFonts w:asciiTheme="minorHAnsi" w:hAnsiTheme="minorHAnsi" w:cstheme="minorHAnsi"/>
                <w:sz w:val="22"/>
                <w:szCs w:val="22"/>
              </w:rPr>
            </w:pPr>
            <w:r>
              <w:rPr>
                <w:rFonts w:asciiTheme="minorHAnsi" w:hAnsiTheme="minorHAnsi" w:cstheme="minorHAnsi"/>
                <w:sz w:val="22"/>
                <w:szCs w:val="22"/>
              </w:rPr>
              <w:t>Investiční náklady ze státního rozpočtu</w:t>
            </w:r>
            <w:r w:rsidR="008D6E3B">
              <w:rPr>
                <w:rFonts w:asciiTheme="minorHAnsi" w:hAnsiTheme="minorHAnsi" w:cstheme="minorHAnsi"/>
                <w:sz w:val="22"/>
                <w:szCs w:val="22"/>
              </w:rPr>
              <w:t xml:space="preserve"> a fondů EU</w:t>
            </w:r>
          </w:p>
        </w:tc>
      </w:tr>
      <w:tr w14:paraId="36C55836" w14:textId="77777777" w:rsidTr="006D5074">
        <w:tblPrEx>
          <w:tblW w:w="5000" w:type="pct"/>
          <w:tblCellMar>
            <w:left w:w="70" w:type="dxa"/>
            <w:right w:w="70" w:type="dxa"/>
          </w:tblCellMar>
          <w:tblLook w:val="0000"/>
        </w:tblPrEx>
        <w:trPr>
          <w:trHeight w:hRule="exact" w:val="4401"/>
        </w:trPr>
        <w:tc>
          <w:tcPr>
            <w:tcW w:w="836" w:type="pct"/>
          </w:tcPr>
          <w:p w:rsidR="006D5074" w:rsidRPr="00923D98" w:rsidP="006D5074" w14:paraId="1E68734E" w14:textId="77777777">
            <w:pPr>
              <w:rPr>
                <w:rFonts w:asciiTheme="minorHAnsi" w:hAnsiTheme="minorHAnsi" w:cstheme="minorHAnsi"/>
                <w:sz w:val="22"/>
                <w:szCs w:val="22"/>
              </w:rPr>
            </w:pPr>
            <w:r w:rsidRPr="00923D98">
              <w:rPr>
                <w:rFonts w:asciiTheme="minorHAnsi" w:hAnsiTheme="minorHAnsi" w:cstheme="minorHAnsi"/>
                <w:sz w:val="22"/>
                <w:szCs w:val="22"/>
              </w:rPr>
              <w:t>celkem</w:t>
            </w:r>
          </w:p>
        </w:tc>
        <w:tc>
          <w:tcPr>
            <w:tcW w:w="842" w:type="pct"/>
          </w:tcPr>
          <w:p w:rsidR="006D5074" w:rsidRPr="00923D98" w:rsidP="006D5074" w14:paraId="281C2CFD" w14:textId="0944F954">
            <w:pPr>
              <w:rPr>
                <w:rFonts w:asciiTheme="minorHAnsi" w:hAnsiTheme="minorHAnsi" w:cstheme="minorHAnsi"/>
                <w:sz w:val="22"/>
                <w:szCs w:val="22"/>
              </w:rPr>
            </w:pPr>
            <w:r w:rsidRPr="00923D98">
              <w:rPr>
                <w:rFonts w:asciiTheme="minorHAnsi" w:hAnsiTheme="minorHAnsi" w:cstheme="minorHAnsi"/>
                <w:sz w:val="22"/>
                <w:szCs w:val="22"/>
              </w:rPr>
              <w:t>N/A</w:t>
            </w:r>
          </w:p>
        </w:tc>
        <w:tc>
          <w:tcPr>
            <w:tcW w:w="993" w:type="pct"/>
          </w:tcPr>
          <w:p w:rsidR="006D5074" w:rsidRPr="00923D98" w:rsidP="006D5074" w14:paraId="5BF69B7C" w14:textId="09146F49">
            <w:pPr>
              <w:spacing w:after="120"/>
              <w:rPr>
                <w:rFonts w:asciiTheme="minorHAnsi" w:hAnsiTheme="minorHAnsi" w:cstheme="minorHAnsi"/>
                <w:sz w:val="22"/>
                <w:szCs w:val="22"/>
              </w:rPr>
            </w:pPr>
            <w:r w:rsidRPr="00923D98">
              <w:rPr>
                <w:rFonts w:asciiTheme="minorHAnsi" w:hAnsiTheme="minorHAnsi" w:cstheme="minorHAnsi"/>
                <w:i/>
                <w:iCs/>
                <w:sz w:val="22"/>
                <w:szCs w:val="22"/>
              </w:rPr>
              <w:t>Budou stanoveny při další aktualizaci (či průběžně) po úpravě legislativy s ohledem na obsah legislativních změn a dopadu na jednotlivé subjekty. Nyní nelze definovat požadované hodnoty, obsah se stále diskutuje na expertní úrovni.</w:t>
            </w:r>
          </w:p>
        </w:tc>
        <w:tc>
          <w:tcPr>
            <w:tcW w:w="715" w:type="pct"/>
          </w:tcPr>
          <w:p w:rsidR="006D5074" w:rsidRPr="00923D98" w:rsidP="006D5074" w14:paraId="1EB7B905" w14:textId="77777777">
            <w:pPr>
              <w:rPr>
                <w:rFonts w:asciiTheme="minorHAnsi" w:hAnsiTheme="minorHAnsi" w:cstheme="minorHAnsi"/>
                <w:sz w:val="22"/>
                <w:szCs w:val="22"/>
              </w:rPr>
            </w:pPr>
          </w:p>
        </w:tc>
        <w:tc>
          <w:tcPr>
            <w:tcW w:w="1614" w:type="pct"/>
            <w:gridSpan w:val="4"/>
          </w:tcPr>
          <w:p w:rsidR="006D5074" w:rsidRPr="00923D98" w:rsidP="006D5074" w14:paraId="0941A78C" w14:textId="77777777">
            <w:pPr>
              <w:rPr>
                <w:rFonts w:asciiTheme="minorHAnsi" w:hAnsiTheme="minorHAnsi" w:cstheme="minorHAnsi"/>
                <w:sz w:val="22"/>
                <w:szCs w:val="22"/>
              </w:rPr>
            </w:pPr>
          </w:p>
        </w:tc>
      </w:tr>
    </w:tbl>
    <w:p w:rsidR="00214046" w:rsidRPr="00923D98" w14:paraId="07E10445" w14:textId="72298B43">
      <w:pPr>
        <w:rPr>
          <w:rFonts w:asciiTheme="minorHAnsi" w:hAnsiTheme="minorHAnsi" w:cstheme="minorHAnsi"/>
          <w:sz w:val="20"/>
          <w:szCs w:val="20"/>
        </w:rPr>
      </w:pPr>
      <w:r w:rsidRPr="00923D98">
        <w:rPr>
          <w:rFonts w:asciiTheme="minorHAnsi" w:hAnsiTheme="minorHAnsi" w:cstheme="minorHAnsi"/>
          <w:sz w:val="20"/>
          <w:szCs w:val="20"/>
        </w:rPr>
        <w:t>Zdroj: vlastní zpracování</w:t>
      </w:r>
    </w:p>
    <w:p w:rsidR="00960C9E" w:rsidRPr="00923D98" w14:paraId="148711E7" w14:textId="77777777">
      <w:pPr>
        <w:rPr>
          <w:rFonts w:asciiTheme="minorHAnsi" w:hAnsiTheme="minorHAnsi" w:cstheme="minorHAnsi"/>
          <w:sz w:val="20"/>
          <w:szCs w:val="20"/>
        </w:rPr>
        <w:sectPr w:rsidSect="0059493B">
          <w:pgSz w:w="11906" w:h="16838"/>
          <w:pgMar w:top="1417" w:right="1417" w:bottom="1417" w:left="1417" w:header="708" w:footer="708" w:gutter="0"/>
          <w:cols w:space="708"/>
          <w:titlePg/>
          <w:docGrid w:linePitch="360"/>
        </w:sectPr>
      </w:pPr>
    </w:p>
    <w:p w:rsidR="00960C9E" w:rsidRPr="00923D98" w14:paraId="52D6C66C" w14:textId="77777777">
      <w:pPr>
        <w:rPr>
          <w:rFonts w:asciiTheme="minorHAnsi" w:hAnsiTheme="minorHAnsi" w:cstheme="minorHAnsi"/>
          <w:sz w:val="20"/>
          <w:szCs w:val="20"/>
        </w:rPr>
      </w:pPr>
    </w:p>
    <w:p w:rsidR="00AA4FE7" w:rsidRPr="00923D98" w:rsidP="00C13797" w14:paraId="5E6D82BD" w14:textId="06593555">
      <w:pPr>
        <w:pStyle w:val="Heading1"/>
        <w:numPr>
          <w:ilvl w:val="0"/>
          <w:numId w:val="13"/>
        </w:numPr>
        <w:rPr>
          <w:rFonts w:cstheme="minorHAnsi"/>
        </w:rPr>
      </w:pPr>
      <w:bookmarkStart w:id="231" w:name="_Toc256000004"/>
      <w:r w:rsidRPr="00923D98">
        <w:rPr>
          <w:rFonts w:cstheme="minorHAnsi"/>
        </w:rPr>
        <w:t>Soubor indikátorů</w:t>
      </w:r>
      <w:bookmarkEnd w:id="231"/>
    </w:p>
    <w:p w:rsidR="00C13797" w:rsidRPr="00923D98" w:rsidP="00943F23" w14:paraId="2A3D64ED" w14:textId="77777777">
      <w:pPr>
        <w:rPr>
          <w:rFonts w:asciiTheme="minorHAnsi" w:hAnsiTheme="minorHAnsi" w:cstheme="minorHAnsi"/>
        </w:rPr>
      </w:pPr>
    </w:p>
    <w:p w:rsidR="00E9630D" w:rsidP="00E9630D" w14:paraId="08A24894" w14:textId="77777777">
      <w:pPr>
        <w:jc w:val="both"/>
        <w:rPr>
          <w:rFonts w:asciiTheme="minorHAnsi" w:hAnsiTheme="minorHAnsi" w:cs="Arial"/>
        </w:rPr>
      </w:pPr>
      <w:r w:rsidRPr="00923D98">
        <w:rPr>
          <w:rFonts w:asciiTheme="minorHAnsi" w:hAnsiTheme="minorHAnsi" w:cstheme="minorHAnsi"/>
        </w:rPr>
        <w:t xml:space="preserve">Naplňování Strategického rámce Zdraví </w:t>
      </w:r>
      <w:r w:rsidRPr="00923D98" w:rsidR="004E2470">
        <w:rPr>
          <w:rFonts w:asciiTheme="minorHAnsi" w:hAnsiTheme="minorHAnsi" w:cstheme="minorHAnsi"/>
        </w:rPr>
        <w:t xml:space="preserve">2035 je </w:t>
      </w:r>
      <w:r w:rsidRPr="00923D98">
        <w:rPr>
          <w:rFonts w:asciiTheme="minorHAnsi" w:hAnsiTheme="minorHAnsi" w:cstheme="minorHAnsi"/>
        </w:rPr>
        <w:t>sledováno prostřednictvím indikátorů, které představují účinný nástroj pro měření cílů, postupu či dosažených efektů jednotlivých úrovní implementace.</w:t>
      </w:r>
      <w:r w:rsidRPr="00E9630D">
        <w:rPr>
          <w:rFonts w:asciiTheme="minorHAnsi" w:hAnsiTheme="minorHAnsi" w:cs="Arial"/>
        </w:rPr>
        <w:t xml:space="preserve"> </w:t>
      </w:r>
    </w:p>
    <w:p w:rsidR="00E9630D" w:rsidRPr="00AF515C" w:rsidP="00E9630D" w14:paraId="53150DD3" w14:textId="19D48295">
      <w:pPr>
        <w:jc w:val="both"/>
        <w:rPr>
          <w:rFonts w:asciiTheme="minorHAnsi" w:hAnsiTheme="minorHAnsi" w:cs="Arial"/>
        </w:rPr>
      </w:pPr>
      <w:r w:rsidRPr="00AF515C">
        <w:rPr>
          <w:rFonts w:asciiTheme="minorHAnsi" w:hAnsiTheme="minorHAnsi" w:cs="Arial"/>
        </w:rPr>
        <w:t>Na úrovni Strategického rámce Zdraví 203</w:t>
      </w:r>
      <w:r>
        <w:rPr>
          <w:rFonts w:asciiTheme="minorHAnsi" w:hAnsiTheme="minorHAnsi" w:cs="Arial"/>
        </w:rPr>
        <w:t>5</w:t>
      </w:r>
      <w:r w:rsidRPr="00AF515C">
        <w:rPr>
          <w:rFonts w:asciiTheme="minorHAnsi" w:hAnsiTheme="minorHAnsi" w:cs="Arial"/>
        </w:rPr>
        <w:t xml:space="preserve"> jsou stanoveny základní indikátory, u nichž je zřejmá návaznost na indikátory Strategického rámce ČR 2030. </w:t>
      </w:r>
    </w:p>
    <w:p w:rsidR="00E9630D" w:rsidRPr="00AF515C" w:rsidP="00E9630D" w14:paraId="69C04C17" w14:textId="77777777">
      <w:pPr>
        <w:jc w:val="both"/>
        <w:rPr>
          <w:rFonts w:asciiTheme="minorHAnsi" w:hAnsiTheme="minorHAnsi" w:cs="Arial"/>
        </w:rPr>
      </w:pPr>
    </w:p>
    <w:p w:rsidR="00E9630D" w:rsidRPr="00AF515C" w:rsidP="00E9630D" w14:paraId="1133F28A" w14:textId="77777777">
      <w:pPr>
        <w:jc w:val="both"/>
        <w:rPr>
          <w:rFonts w:asciiTheme="minorHAnsi" w:hAnsiTheme="minorHAnsi" w:cs="Arial"/>
        </w:rPr>
      </w:pPr>
      <w:r w:rsidRPr="00AF515C">
        <w:rPr>
          <w:rFonts w:asciiTheme="minorHAnsi" w:hAnsiTheme="minorHAnsi" w:cs="Arial"/>
        </w:rPr>
        <w:t xml:space="preserve">Soubor indikátorů </w:t>
      </w:r>
      <w:r w:rsidRPr="00AF515C">
        <w:rPr>
          <w:rFonts w:asciiTheme="minorHAnsi" w:hAnsiTheme="minorHAnsi" w:cs="Arial"/>
        </w:rPr>
        <w:t>slouží</w:t>
      </w:r>
      <w:r w:rsidRPr="00AF515C">
        <w:rPr>
          <w:rFonts w:asciiTheme="minorHAnsi" w:hAnsiTheme="minorHAnsi" w:cs="Arial"/>
        </w:rPr>
        <w:t xml:space="preserve"> ke sledování pokroku v plnění jednotlivých cílů. Zdraví 203</w:t>
      </w:r>
      <w:r>
        <w:rPr>
          <w:rFonts w:asciiTheme="minorHAnsi" w:hAnsiTheme="minorHAnsi" w:cs="Arial"/>
        </w:rPr>
        <w:t>5</w:t>
      </w:r>
      <w:r w:rsidRPr="00AF515C">
        <w:rPr>
          <w:rFonts w:asciiTheme="minorHAnsi" w:hAnsiTheme="minorHAnsi" w:cs="Arial"/>
        </w:rPr>
        <w:t xml:space="preserve"> obsahuje indikátorovou sadu, která </w:t>
      </w:r>
      <w:r w:rsidRPr="00AF515C">
        <w:rPr>
          <w:rFonts w:asciiTheme="minorHAnsi" w:hAnsiTheme="minorHAnsi" w:cs="Arial"/>
        </w:rPr>
        <w:t>měří</w:t>
      </w:r>
      <w:r w:rsidRPr="00AF515C">
        <w:rPr>
          <w:rFonts w:asciiTheme="minorHAnsi" w:hAnsiTheme="minorHAnsi" w:cs="Arial"/>
        </w:rPr>
        <w:t xml:space="preserve"> dopady intervencí na nejvyšší úrovni. Tento IP má přispívat především k dosažení cílových hodnot následujících indikátorů: </w:t>
      </w:r>
    </w:p>
    <w:p w:rsidR="00E9630D" w:rsidRPr="00AF515C" w:rsidP="00E9630D" w14:paraId="10EC45FE" w14:textId="77777777">
      <w:pPr>
        <w:jc w:val="both"/>
        <w:rPr>
          <w:rFonts w:asciiTheme="minorHAnsi" w:hAnsiTheme="minorHAnsi" w:cs="Arial"/>
        </w:rPr>
      </w:pPr>
    </w:p>
    <w:p w:rsidR="003325EC" w:rsidRPr="00923D98" w:rsidP="00E9630D" w14:paraId="7005612B" w14:textId="5345DB0B">
      <w:pPr>
        <w:jc w:val="both"/>
        <w:rPr>
          <w:rFonts w:asciiTheme="minorHAnsi" w:hAnsiTheme="minorHAnsi" w:cstheme="minorHAnsi"/>
        </w:rPr>
      </w:pPr>
      <w:bookmarkStart w:id="232" w:name="_Toc256000014"/>
      <w:r w:rsidRPr="00923D98">
        <w:rPr>
          <w:rFonts w:asciiTheme="minorHAnsi" w:hAnsiTheme="minorHAnsi" w:cstheme="minorHAnsi"/>
        </w:rPr>
        <w:t xml:space="preserve">Tabulka </w:t>
      </w:r>
      <w:r w:rsidRPr="00923D98">
        <w:rPr>
          <w:rFonts w:asciiTheme="minorHAnsi" w:hAnsiTheme="minorHAnsi" w:cstheme="minorHAnsi"/>
        </w:rPr>
        <w:fldChar w:fldCharType="begin"/>
      </w:r>
      <w:r w:rsidRPr="00923D98">
        <w:rPr>
          <w:rFonts w:asciiTheme="minorHAnsi" w:hAnsiTheme="minorHAnsi" w:cstheme="minorHAnsi"/>
        </w:rPr>
        <w:instrText xml:space="preserve"> SEQ Tabulka \* ARABIC </w:instrText>
      </w:r>
      <w:r w:rsidRPr="00923D98">
        <w:rPr>
          <w:rFonts w:asciiTheme="minorHAnsi" w:hAnsiTheme="minorHAnsi" w:cstheme="minorHAnsi"/>
        </w:rPr>
        <w:fldChar w:fldCharType="separate"/>
      </w:r>
      <w:r w:rsidRPr="00923D98">
        <w:rPr>
          <w:rFonts w:asciiTheme="minorHAnsi" w:hAnsiTheme="minorHAnsi" w:cstheme="minorHAnsi"/>
        </w:rPr>
        <w:t>3</w:t>
      </w:r>
      <w:r w:rsidRPr="00923D98">
        <w:rPr>
          <w:rFonts w:asciiTheme="minorHAnsi" w:hAnsiTheme="minorHAnsi" w:cstheme="minorHAnsi"/>
        </w:rPr>
        <w:fldChar w:fldCharType="end"/>
      </w:r>
      <w:r w:rsidRPr="00923D98">
        <w:rPr>
          <w:rFonts w:asciiTheme="minorHAnsi" w:hAnsiTheme="minorHAnsi" w:cstheme="minorHAnsi"/>
        </w:rPr>
        <w:t xml:space="preserve"> Indikátory </w:t>
      </w:r>
      <w:r w:rsidRPr="00923D98" w:rsidR="004B3EC6">
        <w:rPr>
          <w:rFonts w:asciiTheme="minorHAnsi" w:hAnsiTheme="minorHAnsi" w:cstheme="minorHAnsi"/>
        </w:rPr>
        <w:t>IP 1.3</w:t>
      </w:r>
      <w:bookmarkEnd w:id="232"/>
    </w:p>
    <w:tbl>
      <w:tblPr>
        <w:tblW w:w="15345" w:type="dxa"/>
        <w:tblInd w:w="-1144" w:type="dxa"/>
        <w:tblCellMar>
          <w:top w:w="15" w:type="dxa"/>
          <w:left w:w="70" w:type="dxa"/>
          <w:bottom w:w="15" w:type="dxa"/>
          <w:right w:w="70" w:type="dxa"/>
        </w:tblCellMar>
        <w:tblLook w:val="04A0"/>
      </w:tblPr>
      <w:tblGrid>
        <w:gridCol w:w="2142"/>
        <w:gridCol w:w="1980"/>
        <w:gridCol w:w="2020"/>
        <w:gridCol w:w="1037"/>
        <w:gridCol w:w="1198"/>
        <w:gridCol w:w="1078"/>
        <w:gridCol w:w="1115"/>
        <w:gridCol w:w="1305"/>
        <w:gridCol w:w="1305"/>
        <w:gridCol w:w="1305"/>
        <w:gridCol w:w="860"/>
      </w:tblGrid>
      <w:tr w14:paraId="673462A0" w14:textId="77777777" w:rsidTr="00E9630D">
        <w:tblPrEx>
          <w:tblW w:w="15345" w:type="dxa"/>
          <w:tblInd w:w="-1144" w:type="dxa"/>
          <w:tblCellMar>
            <w:top w:w="15" w:type="dxa"/>
            <w:left w:w="70" w:type="dxa"/>
            <w:bottom w:w="15" w:type="dxa"/>
            <w:right w:w="70" w:type="dxa"/>
          </w:tblCellMar>
          <w:tblLook w:val="04A0"/>
        </w:tblPrEx>
        <w:trPr>
          <w:trHeight w:val="615"/>
        </w:trPr>
        <w:tc>
          <w:tcPr>
            <w:tcW w:w="2285"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2714AEA0" w14:textId="77777777">
            <w:pPr>
              <w:jc w:val="center"/>
              <w:rPr>
                <w:rFonts w:ascii="Calibri" w:hAnsi="Calibri" w:cs="Calibri"/>
                <w:b/>
                <w:bCs/>
                <w:color w:val="000000"/>
                <w:sz w:val="22"/>
                <w:szCs w:val="22"/>
              </w:rPr>
            </w:pPr>
            <w:r>
              <w:rPr>
                <w:rFonts w:ascii="Calibri" w:hAnsi="Calibri" w:cs="Calibri"/>
                <w:b/>
                <w:bCs/>
                <w:color w:val="000000"/>
                <w:sz w:val="22"/>
                <w:szCs w:val="22"/>
              </w:rPr>
              <w:t>Indikátor</w:t>
            </w:r>
          </w:p>
        </w:tc>
        <w:tc>
          <w:tcPr>
            <w:tcW w:w="2083"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5F7BF1D6" w14:textId="77777777">
            <w:pPr>
              <w:jc w:val="center"/>
              <w:rPr>
                <w:rFonts w:ascii="Calibri" w:hAnsi="Calibri" w:cs="Calibri"/>
                <w:b/>
                <w:bCs/>
                <w:color w:val="000000"/>
                <w:sz w:val="22"/>
                <w:szCs w:val="22"/>
              </w:rPr>
            </w:pPr>
            <w:r>
              <w:rPr>
                <w:rFonts w:ascii="Calibri" w:hAnsi="Calibri" w:cs="Calibri"/>
                <w:b/>
                <w:bCs/>
                <w:color w:val="000000"/>
                <w:sz w:val="22"/>
                <w:szCs w:val="22"/>
              </w:rPr>
              <w:t>Stručná definice</w:t>
            </w:r>
          </w:p>
        </w:tc>
        <w:tc>
          <w:tcPr>
            <w:tcW w:w="2159"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30F9840C" w14:textId="77777777">
            <w:pPr>
              <w:jc w:val="center"/>
              <w:rPr>
                <w:rFonts w:ascii="Calibri" w:hAnsi="Calibri" w:cs="Calibri"/>
                <w:b/>
                <w:bCs/>
                <w:color w:val="000000"/>
                <w:sz w:val="22"/>
                <w:szCs w:val="22"/>
              </w:rPr>
            </w:pPr>
            <w:r>
              <w:rPr>
                <w:rFonts w:ascii="Calibri" w:hAnsi="Calibri" w:cs="Calibri"/>
                <w:b/>
                <w:bCs/>
                <w:color w:val="000000"/>
                <w:sz w:val="22"/>
                <w:szCs w:val="22"/>
              </w:rPr>
              <w:t>Význam indikátoru (proč byl indikátor zvolen)</w:t>
            </w:r>
          </w:p>
        </w:tc>
        <w:tc>
          <w:tcPr>
            <w:tcW w:w="1071"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6F4B8A03" w14:textId="77777777">
            <w:pPr>
              <w:jc w:val="center"/>
              <w:rPr>
                <w:rFonts w:ascii="Calibri" w:hAnsi="Calibri" w:cs="Calibri"/>
                <w:b/>
                <w:bCs/>
                <w:color w:val="000000"/>
                <w:sz w:val="22"/>
                <w:szCs w:val="22"/>
              </w:rPr>
            </w:pPr>
            <w:r>
              <w:rPr>
                <w:rFonts w:ascii="Calibri" w:hAnsi="Calibri" w:cs="Calibri"/>
                <w:b/>
                <w:bCs/>
                <w:color w:val="000000"/>
                <w:sz w:val="22"/>
                <w:szCs w:val="22"/>
              </w:rPr>
              <w:t>Zdroj dat</w:t>
            </w:r>
          </w:p>
        </w:tc>
        <w:tc>
          <w:tcPr>
            <w:tcW w:w="1226"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3FFA8422" w14:textId="77777777">
            <w:pPr>
              <w:jc w:val="center"/>
              <w:rPr>
                <w:rFonts w:ascii="Calibri" w:hAnsi="Calibri" w:cs="Calibri"/>
                <w:b/>
                <w:bCs/>
                <w:color w:val="000000"/>
                <w:sz w:val="22"/>
                <w:szCs w:val="22"/>
              </w:rPr>
            </w:pPr>
            <w:r>
              <w:rPr>
                <w:rFonts w:ascii="Calibri" w:hAnsi="Calibri" w:cs="Calibri"/>
                <w:b/>
                <w:bCs/>
                <w:color w:val="000000"/>
                <w:sz w:val="22"/>
                <w:szCs w:val="22"/>
              </w:rPr>
              <w:t>Gestor</w:t>
            </w:r>
          </w:p>
        </w:tc>
        <w:tc>
          <w:tcPr>
            <w:tcW w:w="1098"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08ABEDB0" w14:textId="77777777">
            <w:pPr>
              <w:jc w:val="center"/>
              <w:rPr>
                <w:rFonts w:ascii="Calibri" w:hAnsi="Calibri" w:cs="Calibri"/>
                <w:b/>
                <w:bCs/>
                <w:color w:val="000000"/>
                <w:sz w:val="22"/>
                <w:szCs w:val="22"/>
              </w:rPr>
            </w:pPr>
            <w:r>
              <w:rPr>
                <w:rFonts w:ascii="Calibri" w:hAnsi="Calibri" w:cs="Calibri"/>
                <w:b/>
                <w:bCs/>
                <w:color w:val="000000"/>
                <w:sz w:val="22"/>
                <w:szCs w:val="22"/>
              </w:rPr>
              <w:t>jednotka</w:t>
            </w:r>
          </w:p>
        </w:tc>
        <w:tc>
          <w:tcPr>
            <w:tcW w:w="1122"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46CA2A8A" w14:textId="77777777">
            <w:pPr>
              <w:jc w:val="center"/>
              <w:rPr>
                <w:rFonts w:ascii="Calibri" w:hAnsi="Calibri" w:cs="Calibri"/>
                <w:b/>
                <w:bCs/>
                <w:color w:val="000000"/>
                <w:sz w:val="22"/>
                <w:szCs w:val="22"/>
              </w:rPr>
            </w:pPr>
            <w:r>
              <w:rPr>
                <w:rFonts w:ascii="Calibri" w:hAnsi="Calibri" w:cs="Calibri"/>
                <w:b/>
                <w:bCs/>
                <w:color w:val="000000"/>
                <w:sz w:val="22"/>
                <w:szCs w:val="22"/>
              </w:rPr>
              <w:t>Frekvence sběru dat</w:t>
            </w:r>
          </w:p>
        </w:tc>
        <w:tc>
          <w:tcPr>
            <w:tcW w:w="1305"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54CED369"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31.12.2023</w:t>
            </w:r>
          </w:p>
        </w:tc>
        <w:tc>
          <w:tcPr>
            <w:tcW w:w="1305"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1D9156D6"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31.12.2024</w:t>
            </w:r>
          </w:p>
        </w:tc>
        <w:tc>
          <w:tcPr>
            <w:tcW w:w="805" w:type="dxa"/>
            <w:vMerge w:val="restart"/>
            <w:tcBorders>
              <w:top w:val="single" w:sz="8" w:space="0" w:color="auto"/>
              <w:left w:val="single" w:sz="8" w:space="0" w:color="auto"/>
              <w:bottom w:val="nil"/>
              <w:right w:val="single" w:sz="8" w:space="0" w:color="auto"/>
            </w:tcBorders>
            <w:shd w:val="clear" w:color="000000" w:fill="CAEDFB"/>
            <w:vAlign w:val="center"/>
            <w:hideMark/>
          </w:tcPr>
          <w:p w:rsidR="00E9630D" w14:paraId="6BBD1499"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31.12.2025</w:t>
            </w:r>
          </w:p>
        </w:tc>
        <w:tc>
          <w:tcPr>
            <w:tcW w:w="886" w:type="dxa"/>
            <w:tcBorders>
              <w:top w:val="single" w:sz="8" w:space="0" w:color="auto"/>
              <w:left w:val="nil"/>
              <w:bottom w:val="nil"/>
              <w:right w:val="single" w:sz="8" w:space="0" w:color="auto"/>
            </w:tcBorders>
            <w:shd w:val="clear" w:color="000000" w:fill="CAEDFB"/>
            <w:vAlign w:val="center"/>
            <w:hideMark/>
          </w:tcPr>
          <w:p w:rsidR="00E9630D" w14:paraId="4FCC2F03" w14:textId="77777777">
            <w:pPr>
              <w:jc w:val="center"/>
              <w:rPr>
                <w:rFonts w:ascii="Calibri" w:hAnsi="Calibri" w:cs="Calibri"/>
                <w:b/>
                <w:bCs/>
                <w:color w:val="000000"/>
                <w:sz w:val="22"/>
                <w:szCs w:val="22"/>
              </w:rPr>
            </w:pPr>
            <w:r>
              <w:rPr>
                <w:rFonts w:ascii="Calibri" w:hAnsi="Calibri" w:cs="Calibri"/>
                <w:b/>
                <w:bCs/>
                <w:color w:val="000000"/>
                <w:sz w:val="22"/>
                <w:szCs w:val="22"/>
              </w:rPr>
              <w:t>Cílový stav</w:t>
            </w:r>
          </w:p>
        </w:tc>
      </w:tr>
      <w:tr w14:paraId="3DC415F5" w14:textId="77777777" w:rsidTr="00E9630D">
        <w:tblPrEx>
          <w:tblW w:w="15345" w:type="dxa"/>
          <w:tblInd w:w="-1144" w:type="dxa"/>
          <w:tblCellMar>
            <w:top w:w="15" w:type="dxa"/>
            <w:left w:w="70" w:type="dxa"/>
            <w:bottom w:w="15" w:type="dxa"/>
            <w:right w:w="70" w:type="dxa"/>
          </w:tblCellMar>
          <w:tblLook w:val="04A0"/>
        </w:tblPrEx>
        <w:trPr>
          <w:trHeight w:val="315"/>
        </w:trPr>
        <w:tc>
          <w:tcPr>
            <w:tcW w:w="2285" w:type="dxa"/>
            <w:vMerge/>
            <w:tcBorders>
              <w:top w:val="single" w:sz="8" w:space="0" w:color="auto"/>
              <w:left w:val="single" w:sz="8" w:space="0" w:color="auto"/>
              <w:bottom w:val="nil"/>
              <w:right w:val="single" w:sz="8" w:space="0" w:color="auto"/>
            </w:tcBorders>
            <w:vAlign w:val="center"/>
            <w:hideMark/>
          </w:tcPr>
          <w:p w:rsidR="00E9630D" w14:paraId="5FB87A7A" w14:textId="77777777">
            <w:pPr>
              <w:rPr>
                <w:rFonts w:ascii="Calibri" w:hAnsi="Calibri" w:cs="Calibri"/>
                <w:b/>
                <w:bCs/>
                <w:color w:val="000000"/>
                <w:sz w:val="22"/>
                <w:szCs w:val="22"/>
              </w:rPr>
            </w:pPr>
          </w:p>
        </w:tc>
        <w:tc>
          <w:tcPr>
            <w:tcW w:w="2083" w:type="dxa"/>
            <w:vMerge/>
            <w:tcBorders>
              <w:top w:val="single" w:sz="8" w:space="0" w:color="auto"/>
              <w:left w:val="single" w:sz="8" w:space="0" w:color="auto"/>
              <w:bottom w:val="nil"/>
              <w:right w:val="single" w:sz="8" w:space="0" w:color="auto"/>
            </w:tcBorders>
            <w:vAlign w:val="center"/>
            <w:hideMark/>
          </w:tcPr>
          <w:p w:rsidR="00E9630D" w14:paraId="433F78CE" w14:textId="77777777">
            <w:pPr>
              <w:rPr>
                <w:rFonts w:ascii="Calibri" w:hAnsi="Calibri" w:cs="Calibri"/>
                <w:b/>
                <w:bCs/>
                <w:color w:val="000000"/>
                <w:sz w:val="22"/>
                <w:szCs w:val="22"/>
              </w:rPr>
            </w:pPr>
          </w:p>
        </w:tc>
        <w:tc>
          <w:tcPr>
            <w:tcW w:w="2159" w:type="dxa"/>
            <w:vMerge/>
            <w:tcBorders>
              <w:top w:val="single" w:sz="8" w:space="0" w:color="auto"/>
              <w:left w:val="single" w:sz="8" w:space="0" w:color="auto"/>
              <w:bottom w:val="nil"/>
              <w:right w:val="single" w:sz="8" w:space="0" w:color="auto"/>
            </w:tcBorders>
            <w:vAlign w:val="center"/>
            <w:hideMark/>
          </w:tcPr>
          <w:p w:rsidR="00E9630D" w14:paraId="750A528C" w14:textId="77777777">
            <w:pPr>
              <w:rPr>
                <w:rFonts w:ascii="Calibri" w:hAnsi="Calibri" w:cs="Calibri"/>
                <w:b/>
                <w:bCs/>
                <w:color w:val="000000"/>
                <w:sz w:val="22"/>
                <w:szCs w:val="22"/>
              </w:rPr>
            </w:pPr>
          </w:p>
        </w:tc>
        <w:tc>
          <w:tcPr>
            <w:tcW w:w="1071" w:type="dxa"/>
            <w:vMerge/>
            <w:tcBorders>
              <w:top w:val="single" w:sz="8" w:space="0" w:color="auto"/>
              <w:left w:val="single" w:sz="8" w:space="0" w:color="auto"/>
              <w:bottom w:val="nil"/>
              <w:right w:val="single" w:sz="8" w:space="0" w:color="auto"/>
            </w:tcBorders>
            <w:vAlign w:val="center"/>
            <w:hideMark/>
          </w:tcPr>
          <w:p w:rsidR="00E9630D" w14:paraId="280DAB4A" w14:textId="77777777">
            <w:pPr>
              <w:rPr>
                <w:rFonts w:ascii="Calibri" w:hAnsi="Calibri" w:cs="Calibri"/>
                <w:b/>
                <w:bCs/>
                <w:color w:val="000000"/>
                <w:sz w:val="22"/>
                <w:szCs w:val="22"/>
              </w:rPr>
            </w:pPr>
          </w:p>
        </w:tc>
        <w:tc>
          <w:tcPr>
            <w:tcW w:w="1226" w:type="dxa"/>
            <w:vMerge/>
            <w:tcBorders>
              <w:top w:val="single" w:sz="8" w:space="0" w:color="auto"/>
              <w:left w:val="single" w:sz="8" w:space="0" w:color="auto"/>
              <w:bottom w:val="nil"/>
              <w:right w:val="single" w:sz="8" w:space="0" w:color="auto"/>
            </w:tcBorders>
            <w:vAlign w:val="center"/>
            <w:hideMark/>
          </w:tcPr>
          <w:p w:rsidR="00E9630D" w14:paraId="2F70F50C" w14:textId="77777777">
            <w:pPr>
              <w:rPr>
                <w:rFonts w:ascii="Calibri" w:hAnsi="Calibri" w:cs="Calibri"/>
                <w:b/>
                <w:bCs/>
                <w:color w:val="000000"/>
                <w:sz w:val="22"/>
                <w:szCs w:val="22"/>
              </w:rPr>
            </w:pPr>
          </w:p>
        </w:tc>
        <w:tc>
          <w:tcPr>
            <w:tcW w:w="1098" w:type="dxa"/>
            <w:vMerge/>
            <w:tcBorders>
              <w:top w:val="single" w:sz="8" w:space="0" w:color="auto"/>
              <w:left w:val="single" w:sz="8" w:space="0" w:color="auto"/>
              <w:bottom w:val="nil"/>
              <w:right w:val="single" w:sz="8" w:space="0" w:color="auto"/>
            </w:tcBorders>
            <w:vAlign w:val="center"/>
            <w:hideMark/>
          </w:tcPr>
          <w:p w:rsidR="00E9630D" w14:paraId="1B75ABEC" w14:textId="77777777">
            <w:pPr>
              <w:rPr>
                <w:rFonts w:ascii="Calibri" w:hAnsi="Calibri" w:cs="Calibri"/>
                <w:b/>
                <w:bCs/>
                <w:color w:val="000000"/>
                <w:sz w:val="22"/>
                <w:szCs w:val="22"/>
              </w:rPr>
            </w:pPr>
          </w:p>
        </w:tc>
        <w:tc>
          <w:tcPr>
            <w:tcW w:w="1122" w:type="dxa"/>
            <w:vMerge/>
            <w:tcBorders>
              <w:top w:val="single" w:sz="8" w:space="0" w:color="auto"/>
              <w:left w:val="single" w:sz="8" w:space="0" w:color="auto"/>
              <w:bottom w:val="nil"/>
              <w:right w:val="single" w:sz="8" w:space="0" w:color="auto"/>
            </w:tcBorders>
            <w:vAlign w:val="center"/>
            <w:hideMark/>
          </w:tcPr>
          <w:p w:rsidR="00E9630D" w14:paraId="0C51390E"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E9630D" w14:paraId="23068A08"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E9630D" w14:paraId="4CEA145F" w14:textId="77777777">
            <w:pPr>
              <w:rPr>
                <w:rFonts w:ascii="Calibri" w:hAnsi="Calibri" w:cs="Calibri"/>
                <w:b/>
                <w:bCs/>
                <w:color w:val="000000"/>
                <w:sz w:val="22"/>
                <w:szCs w:val="22"/>
              </w:rPr>
            </w:pPr>
          </w:p>
        </w:tc>
        <w:tc>
          <w:tcPr>
            <w:tcW w:w="805" w:type="dxa"/>
            <w:vMerge/>
            <w:tcBorders>
              <w:top w:val="single" w:sz="8" w:space="0" w:color="auto"/>
              <w:left w:val="single" w:sz="8" w:space="0" w:color="auto"/>
              <w:bottom w:val="nil"/>
              <w:right w:val="single" w:sz="8" w:space="0" w:color="auto"/>
            </w:tcBorders>
            <w:vAlign w:val="center"/>
            <w:hideMark/>
          </w:tcPr>
          <w:p w:rsidR="00E9630D" w14:paraId="4B1C5495" w14:textId="77777777">
            <w:pPr>
              <w:rPr>
                <w:rFonts w:ascii="Calibri" w:hAnsi="Calibri" w:cs="Calibri"/>
                <w:b/>
                <w:bCs/>
                <w:color w:val="000000"/>
                <w:sz w:val="22"/>
                <w:szCs w:val="22"/>
              </w:rPr>
            </w:pPr>
          </w:p>
        </w:tc>
        <w:tc>
          <w:tcPr>
            <w:tcW w:w="886" w:type="dxa"/>
            <w:tcBorders>
              <w:top w:val="nil"/>
              <w:left w:val="nil"/>
              <w:bottom w:val="nil"/>
              <w:right w:val="single" w:sz="8" w:space="0" w:color="auto"/>
            </w:tcBorders>
            <w:shd w:val="clear" w:color="000000" w:fill="CAEDFB"/>
            <w:vAlign w:val="center"/>
            <w:hideMark/>
          </w:tcPr>
          <w:p w:rsidR="00E9630D" w14:paraId="18E5AA54" w14:textId="77777777">
            <w:pPr>
              <w:jc w:val="center"/>
              <w:rPr>
                <w:rFonts w:ascii="Calibri" w:hAnsi="Calibri" w:cs="Calibri"/>
                <w:b/>
                <w:bCs/>
                <w:color w:val="000000"/>
                <w:sz w:val="22"/>
                <w:szCs w:val="22"/>
              </w:rPr>
            </w:pPr>
            <w:r>
              <w:rPr>
                <w:rFonts w:ascii="Calibri" w:hAnsi="Calibri" w:cs="Calibri"/>
                <w:b/>
                <w:bCs/>
                <w:color w:val="000000"/>
                <w:sz w:val="22"/>
                <w:szCs w:val="22"/>
              </w:rPr>
              <w:t>-2035</w:t>
            </w:r>
          </w:p>
        </w:tc>
      </w:tr>
      <w:tr w14:paraId="43286A6D" w14:textId="77777777" w:rsidTr="00E9630D">
        <w:tblPrEx>
          <w:tblW w:w="15345" w:type="dxa"/>
          <w:tblInd w:w="-1144" w:type="dxa"/>
          <w:tblCellMar>
            <w:top w:w="15" w:type="dxa"/>
            <w:left w:w="70" w:type="dxa"/>
            <w:bottom w:w="15" w:type="dxa"/>
            <w:right w:w="70" w:type="dxa"/>
          </w:tblCellMar>
          <w:tblLook w:val="04A0"/>
        </w:tblPrEx>
        <w:trPr>
          <w:trHeight w:val="1650"/>
        </w:trPr>
        <w:tc>
          <w:tcPr>
            <w:tcW w:w="228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268B2FBF" w14:textId="77777777">
            <w:pPr>
              <w:jc w:val="center"/>
              <w:rPr>
                <w:rFonts w:ascii="Calibri" w:hAnsi="Calibri" w:cs="Calibri"/>
                <w:color w:val="000000"/>
                <w:sz w:val="20"/>
                <w:szCs w:val="20"/>
              </w:rPr>
            </w:pPr>
            <w:r>
              <w:rPr>
                <w:rFonts w:ascii="Calibri" w:hAnsi="Calibri" w:cs="Calibri"/>
                <w:color w:val="000000"/>
                <w:sz w:val="20"/>
                <w:szCs w:val="20"/>
              </w:rPr>
              <w:t>Počet skupin léčivých přípravků v systému rezervací SSHR</w:t>
            </w:r>
          </w:p>
        </w:tc>
        <w:tc>
          <w:tcPr>
            <w:tcW w:w="208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44B380C3" w14:textId="77777777">
            <w:pPr>
              <w:jc w:val="center"/>
              <w:rPr>
                <w:rFonts w:ascii="Calibri" w:hAnsi="Calibri" w:cs="Calibri"/>
                <w:color w:val="000000"/>
                <w:sz w:val="20"/>
                <w:szCs w:val="20"/>
              </w:rPr>
            </w:pPr>
            <w:r>
              <w:rPr>
                <w:rFonts w:ascii="Calibri" w:hAnsi="Calibri" w:cs="Calibri"/>
                <w:color w:val="000000"/>
                <w:sz w:val="20"/>
                <w:szCs w:val="20"/>
              </w:rPr>
              <w:t>Konkrétní skupiny léčivých přípravků, které budou s ohledem na své terapeutické vlastnosti rezervovány</w:t>
            </w:r>
          </w:p>
        </w:tc>
        <w:tc>
          <w:tcPr>
            <w:tcW w:w="2159"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355F9288" w14:textId="77777777">
            <w:pPr>
              <w:jc w:val="center"/>
              <w:rPr>
                <w:rFonts w:ascii="Calibri" w:hAnsi="Calibri" w:cs="Calibri"/>
                <w:color w:val="000000"/>
                <w:sz w:val="20"/>
                <w:szCs w:val="20"/>
              </w:rPr>
            </w:pPr>
            <w:r>
              <w:rPr>
                <w:rFonts w:ascii="Calibri" w:hAnsi="Calibri" w:cs="Calibri"/>
                <w:color w:val="000000"/>
                <w:sz w:val="20"/>
                <w:szCs w:val="20"/>
              </w:rPr>
              <w:t>Cílem opatření je vytvoření rezervací léčivých přípravků, indikátorem je vymezen rozsah</w:t>
            </w:r>
          </w:p>
        </w:tc>
        <w:tc>
          <w:tcPr>
            <w:tcW w:w="107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2E852F25" w14:textId="77777777">
            <w:pPr>
              <w:jc w:val="center"/>
              <w:rPr>
                <w:rFonts w:ascii="Calibri" w:hAnsi="Calibri" w:cs="Calibri"/>
                <w:color w:val="000000"/>
                <w:sz w:val="20"/>
                <w:szCs w:val="20"/>
              </w:rPr>
            </w:pPr>
            <w:r>
              <w:rPr>
                <w:rFonts w:ascii="Calibri" w:hAnsi="Calibri" w:cs="Calibri"/>
                <w:color w:val="000000"/>
                <w:sz w:val="20"/>
                <w:szCs w:val="20"/>
              </w:rPr>
              <w:t>SSHR</w:t>
            </w:r>
          </w:p>
        </w:tc>
        <w:tc>
          <w:tcPr>
            <w:tcW w:w="122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466E59B6" w14:textId="77777777">
            <w:pPr>
              <w:jc w:val="center"/>
              <w:rPr>
                <w:rFonts w:ascii="Calibri" w:hAnsi="Calibri" w:cs="Calibri"/>
                <w:color w:val="000000"/>
                <w:sz w:val="20"/>
                <w:szCs w:val="20"/>
              </w:rPr>
            </w:pPr>
            <w:r>
              <w:rPr>
                <w:rFonts w:ascii="Calibri" w:hAnsi="Calibri" w:cs="Calibri"/>
                <w:color w:val="000000"/>
                <w:sz w:val="20"/>
                <w:szCs w:val="20"/>
              </w:rPr>
              <w:t>SSHR</w:t>
            </w:r>
          </w:p>
        </w:tc>
        <w:tc>
          <w:tcPr>
            <w:tcW w:w="109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12746899" w14:textId="77777777">
            <w:pPr>
              <w:jc w:val="center"/>
              <w:rPr>
                <w:rFonts w:ascii="Calibri" w:hAnsi="Calibri" w:cs="Calibri"/>
                <w:color w:val="000000"/>
                <w:sz w:val="20"/>
                <w:szCs w:val="20"/>
              </w:rPr>
            </w:pPr>
            <w:r>
              <w:rPr>
                <w:rFonts w:ascii="Calibri" w:hAnsi="Calibri" w:cs="Calibri"/>
                <w:color w:val="000000"/>
                <w:sz w:val="20"/>
                <w:szCs w:val="20"/>
              </w:rPr>
              <w:t>ATC skupina</w:t>
            </w:r>
          </w:p>
        </w:tc>
        <w:tc>
          <w:tcPr>
            <w:tcW w:w="112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16DD6204" w14:textId="77777777">
            <w:pPr>
              <w:jc w:val="center"/>
              <w:rPr>
                <w:rFonts w:ascii="Calibri" w:hAnsi="Calibri" w:cs="Calibri"/>
                <w:color w:val="000000"/>
                <w:sz w:val="20"/>
                <w:szCs w:val="20"/>
              </w:rPr>
            </w:pPr>
            <w:r>
              <w:rPr>
                <w:rFonts w:ascii="Calibri" w:hAnsi="Calibri" w:cs="Calibri"/>
                <w:color w:val="000000"/>
                <w:sz w:val="20"/>
                <w:szCs w:val="20"/>
              </w:rPr>
              <w:t>průběžně</w:t>
            </w:r>
          </w:p>
        </w:tc>
        <w:tc>
          <w:tcPr>
            <w:tcW w:w="13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46060247" w14:textId="77777777">
            <w:pPr>
              <w:jc w:val="center"/>
              <w:rPr>
                <w:rFonts w:ascii="Calibri" w:hAnsi="Calibri" w:cs="Calibri"/>
                <w:color w:val="000000"/>
                <w:sz w:val="20"/>
                <w:szCs w:val="20"/>
              </w:rPr>
            </w:pPr>
            <w:r>
              <w:rPr>
                <w:rFonts w:ascii="Calibri" w:hAnsi="Calibri" w:cs="Calibri"/>
                <w:color w:val="000000"/>
                <w:sz w:val="20"/>
                <w:szCs w:val="20"/>
              </w:rPr>
              <w:t>0</w:t>
            </w:r>
          </w:p>
        </w:tc>
        <w:tc>
          <w:tcPr>
            <w:tcW w:w="13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6F923AED" w14:textId="77777777">
            <w:pPr>
              <w:jc w:val="center"/>
              <w:rPr>
                <w:rFonts w:ascii="Calibri" w:hAnsi="Calibri" w:cs="Calibri"/>
                <w:color w:val="000000"/>
                <w:sz w:val="20"/>
                <w:szCs w:val="20"/>
              </w:rPr>
            </w:pPr>
            <w:r>
              <w:rPr>
                <w:rFonts w:ascii="Calibri" w:hAnsi="Calibri" w:cs="Calibri"/>
                <w:color w:val="000000"/>
                <w:sz w:val="20"/>
                <w:szCs w:val="20"/>
              </w:rPr>
              <w:t>1</w:t>
            </w:r>
          </w:p>
        </w:tc>
        <w:tc>
          <w:tcPr>
            <w:tcW w:w="8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57EB8DD5" w14:textId="77777777">
            <w:pPr>
              <w:jc w:val="center"/>
              <w:rPr>
                <w:rFonts w:ascii="Calibri" w:hAnsi="Calibri" w:cs="Calibri"/>
                <w:color w:val="000000"/>
                <w:sz w:val="20"/>
                <w:szCs w:val="20"/>
              </w:rPr>
            </w:pPr>
          </w:p>
        </w:tc>
        <w:tc>
          <w:tcPr>
            <w:tcW w:w="88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02AD086A" w14:textId="77777777">
            <w:pPr>
              <w:jc w:val="center"/>
              <w:rPr>
                <w:rFonts w:ascii="Calibri" w:hAnsi="Calibri" w:cs="Calibri"/>
                <w:color w:val="000000"/>
                <w:sz w:val="20"/>
                <w:szCs w:val="20"/>
              </w:rPr>
            </w:pPr>
            <w:r>
              <w:rPr>
                <w:rFonts w:ascii="Calibri" w:hAnsi="Calibri" w:cs="Calibri"/>
                <w:color w:val="000000"/>
                <w:sz w:val="20"/>
                <w:szCs w:val="20"/>
              </w:rPr>
              <w:t>200</w:t>
            </w:r>
          </w:p>
        </w:tc>
      </w:tr>
      <w:tr w14:paraId="37B6320B" w14:textId="77777777" w:rsidTr="00E9630D">
        <w:tblPrEx>
          <w:tblW w:w="15345" w:type="dxa"/>
          <w:tblInd w:w="-1144" w:type="dxa"/>
          <w:tblCellMar>
            <w:top w:w="15" w:type="dxa"/>
            <w:left w:w="70" w:type="dxa"/>
            <w:bottom w:w="15" w:type="dxa"/>
            <w:right w:w="70" w:type="dxa"/>
          </w:tblCellMar>
          <w:tblLook w:val="04A0"/>
        </w:tblPrEx>
        <w:trPr>
          <w:trHeight w:val="1545"/>
        </w:trPr>
        <w:tc>
          <w:tcPr>
            <w:tcW w:w="228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0087BFFB" w14:textId="77777777">
            <w:pPr>
              <w:jc w:val="center"/>
              <w:rPr>
                <w:rFonts w:ascii="Calibri" w:hAnsi="Calibri" w:cs="Calibri"/>
                <w:color w:val="000000"/>
                <w:sz w:val="20"/>
                <w:szCs w:val="20"/>
              </w:rPr>
            </w:pPr>
            <w:r>
              <w:rPr>
                <w:rFonts w:ascii="Calibri" w:hAnsi="Calibri" w:cs="Calibri"/>
                <w:color w:val="000000"/>
                <w:sz w:val="20"/>
                <w:szCs w:val="20"/>
              </w:rPr>
              <w:t>Provedení zátěžového a funkčního testu</w:t>
            </w:r>
          </w:p>
        </w:tc>
        <w:tc>
          <w:tcPr>
            <w:tcW w:w="208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72DCA545" w14:textId="77777777">
            <w:pPr>
              <w:jc w:val="center"/>
              <w:rPr>
                <w:rFonts w:ascii="Calibri" w:hAnsi="Calibri" w:cs="Calibri"/>
                <w:color w:val="000000"/>
                <w:sz w:val="20"/>
                <w:szCs w:val="20"/>
              </w:rPr>
            </w:pPr>
            <w:r>
              <w:rPr>
                <w:rFonts w:ascii="Calibri" w:hAnsi="Calibri" w:cs="Calibri"/>
                <w:color w:val="000000"/>
                <w:sz w:val="20"/>
                <w:szCs w:val="20"/>
              </w:rPr>
              <w:t>Otestování systému a připravenosti jednotlivých subjektů na využití rezervovaných zásob léčivých přípravků</w:t>
            </w:r>
          </w:p>
        </w:tc>
        <w:tc>
          <w:tcPr>
            <w:tcW w:w="2159"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15BD44E7" w14:textId="77777777">
            <w:pPr>
              <w:jc w:val="center"/>
              <w:rPr>
                <w:rFonts w:ascii="Calibri" w:hAnsi="Calibri" w:cs="Calibri"/>
                <w:color w:val="000000"/>
                <w:sz w:val="20"/>
                <w:szCs w:val="20"/>
              </w:rPr>
            </w:pPr>
            <w:r>
              <w:rPr>
                <w:rFonts w:ascii="Calibri" w:hAnsi="Calibri" w:cs="Calibri"/>
                <w:color w:val="000000"/>
                <w:sz w:val="20"/>
                <w:szCs w:val="20"/>
              </w:rPr>
              <w:t>Ověření funkčnosti systému pro případ potřeby jeho použití</w:t>
            </w:r>
          </w:p>
        </w:tc>
        <w:tc>
          <w:tcPr>
            <w:tcW w:w="107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19090219" w14:textId="77777777">
            <w:pPr>
              <w:jc w:val="center"/>
              <w:rPr>
                <w:rFonts w:ascii="Calibri" w:hAnsi="Calibri" w:cs="Calibri"/>
                <w:color w:val="000000"/>
                <w:sz w:val="20"/>
                <w:szCs w:val="20"/>
              </w:rPr>
            </w:pPr>
            <w:r>
              <w:rPr>
                <w:rFonts w:ascii="Calibri" w:hAnsi="Calibri" w:cs="Calibri"/>
                <w:color w:val="000000"/>
                <w:sz w:val="20"/>
                <w:szCs w:val="20"/>
              </w:rPr>
              <w:t>SSHR</w:t>
            </w:r>
          </w:p>
        </w:tc>
        <w:tc>
          <w:tcPr>
            <w:tcW w:w="122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09A24B0F" w14:textId="77777777">
            <w:pPr>
              <w:jc w:val="center"/>
              <w:rPr>
                <w:rFonts w:ascii="Calibri" w:hAnsi="Calibri" w:cs="Calibri"/>
                <w:color w:val="000000"/>
                <w:sz w:val="20"/>
                <w:szCs w:val="20"/>
              </w:rPr>
            </w:pPr>
            <w:r>
              <w:rPr>
                <w:rFonts w:ascii="Calibri" w:hAnsi="Calibri" w:cs="Calibri"/>
                <w:color w:val="000000"/>
                <w:sz w:val="20"/>
                <w:szCs w:val="20"/>
              </w:rPr>
              <w:t>SSHR/</w:t>
            </w:r>
            <w:r>
              <w:rPr>
                <w:rFonts w:ascii="Calibri" w:hAnsi="Calibri" w:cs="Calibri"/>
                <w:color w:val="000000"/>
                <w:sz w:val="20"/>
                <w:szCs w:val="20"/>
              </w:rPr>
              <w:t>MZD - SE</w:t>
            </w:r>
            <w:r>
              <w:rPr>
                <w:rFonts w:ascii="Calibri" w:hAnsi="Calibri" w:cs="Calibri"/>
                <w:color w:val="000000"/>
                <w:sz w:val="20"/>
                <w:szCs w:val="20"/>
              </w:rPr>
              <w:t>-OLZP</w:t>
            </w:r>
          </w:p>
        </w:tc>
        <w:tc>
          <w:tcPr>
            <w:tcW w:w="109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322626FD" w14:textId="77777777">
            <w:pPr>
              <w:jc w:val="center"/>
              <w:rPr>
                <w:rFonts w:ascii="Calibri" w:hAnsi="Calibri" w:cs="Calibri"/>
                <w:color w:val="000000"/>
                <w:sz w:val="20"/>
                <w:szCs w:val="20"/>
              </w:rPr>
            </w:pPr>
            <w:r>
              <w:rPr>
                <w:rFonts w:ascii="Calibri" w:hAnsi="Calibri" w:cs="Calibri"/>
                <w:color w:val="000000"/>
                <w:sz w:val="20"/>
                <w:szCs w:val="20"/>
              </w:rPr>
              <w:t>ATC skupina</w:t>
            </w:r>
          </w:p>
        </w:tc>
        <w:tc>
          <w:tcPr>
            <w:tcW w:w="112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7CB275A6" w14:textId="77777777">
            <w:pPr>
              <w:jc w:val="center"/>
              <w:rPr>
                <w:rFonts w:ascii="Calibri" w:hAnsi="Calibri" w:cs="Calibri"/>
                <w:color w:val="000000"/>
                <w:sz w:val="20"/>
                <w:szCs w:val="20"/>
              </w:rPr>
            </w:pPr>
            <w:r>
              <w:rPr>
                <w:rFonts w:ascii="Calibri" w:hAnsi="Calibri" w:cs="Calibri"/>
                <w:color w:val="000000"/>
                <w:sz w:val="20"/>
                <w:szCs w:val="20"/>
              </w:rPr>
              <w:t xml:space="preserve">Průběžně </w:t>
            </w:r>
          </w:p>
        </w:tc>
        <w:tc>
          <w:tcPr>
            <w:tcW w:w="13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655854EB" w14:textId="77777777">
            <w:pPr>
              <w:jc w:val="center"/>
              <w:rPr>
                <w:rFonts w:ascii="Calibri" w:hAnsi="Calibri" w:cs="Calibri"/>
                <w:color w:val="000000"/>
                <w:sz w:val="20"/>
                <w:szCs w:val="20"/>
              </w:rPr>
            </w:pPr>
            <w:r>
              <w:rPr>
                <w:rFonts w:ascii="Calibri" w:hAnsi="Calibri" w:cs="Calibri"/>
                <w:color w:val="000000"/>
                <w:sz w:val="20"/>
                <w:szCs w:val="20"/>
              </w:rPr>
              <w:t>0</w:t>
            </w:r>
          </w:p>
        </w:tc>
        <w:tc>
          <w:tcPr>
            <w:tcW w:w="13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08BE9FB4" w14:textId="77777777">
            <w:pPr>
              <w:jc w:val="center"/>
              <w:rPr>
                <w:rFonts w:ascii="Calibri" w:hAnsi="Calibri" w:cs="Calibri"/>
                <w:color w:val="000000"/>
                <w:sz w:val="20"/>
                <w:szCs w:val="20"/>
              </w:rPr>
            </w:pPr>
            <w:r>
              <w:rPr>
                <w:rFonts w:ascii="Calibri" w:hAnsi="Calibri" w:cs="Calibri"/>
                <w:color w:val="000000"/>
                <w:sz w:val="20"/>
                <w:szCs w:val="20"/>
              </w:rPr>
              <w:t>0</w:t>
            </w:r>
          </w:p>
        </w:tc>
        <w:tc>
          <w:tcPr>
            <w:tcW w:w="8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14017830" w14:textId="77777777">
            <w:pPr>
              <w:jc w:val="center"/>
              <w:rPr>
                <w:rFonts w:ascii="Calibri" w:hAnsi="Calibri" w:cs="Calibri"/>
                <w:color w:val="000000"/>
                <w:sz w:val="20"/>
                <w:szCs w:val="20"/>
              </w:rPr>
            </w:pPr>
          </w:p>
        </w:tc>
        <w:tc>
          <w:tcPr>
            <w:tcW w:w="88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176C7AF8" w14:textId="77777777">
            <w:pPr>
              <w:jc w:val="center"/>
              <w:rPr>
                <w:rFonts w:ascii="Calibri" w:hAnsi="Calibri" w:cs="Calibri"/>
                <w:color w:val="000000"/>
                <w:sz w:val="20"/>
                <w:szCs w:val="20"/>
              </w:rPr>
            </w:pPr>
            <w:r>
              <w:rPr>
                <w:rFonts w:ascii="Calibri" w:hAnsi="Calibri" w:cs="Calibri"/>
                <w:color w:val="000000"/>
                <w:sz w:val="20"/>
                <w:szCs w:val="20"/>
              </w:rPr>
              <w:t>3</w:t>
            </w:r>
          </w:p>
        </w:tc>
      </w:tr>
      <w:tr w14:paraId="386473F7" w14:textId="77777777" w:rsidTr="00E9630D">
        <w:tblPrEx>
          <w:tblW w:w="15345" w:type="dxa"/>
          <w:tblInd w:w="-1144" w:type="dxa"/>
          <w:tblCellMar>
            <w:top w:w="15" w:type="dxa"/>
            <w:left w:w="70" w:type="dxa"/>
            <w:bottom w:w="15" w:type="dxa"/>
            <w:right w:w="70" w:type="dxa"/>
          </w:tblCellMar>
          <w:tblLook w:val="04A0"/>
        </w:tblPrEx>
        <w:trPr>
          <w:trHeight w:val="1545"/>
        </w:trPr>
        <w:tc>
          <w:tcPr>
            <w:tcW w:w="228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63AAA171" w14:textId="77777777">
            <w:pPr>
              <w:jc w:val="center"/>
              <w:rPr>
                <w:rFonts w:ascii="Calibri" w:hAnsi="Calibri" w:cs="Calibri"/>
                <w:color w:val="000000"/>
                <w:sz w:val="20"/>
                <w:szCs w:val="20"/>
              </w:rPr>
            </w:pPr>
            <w:r>
              <w:rPr>
                <w:rFonts w:ascii="Calibri" w:hAnsi="Calibri" w:cs="Calibri"/>
                <w:color w:val="000000"/>
                <w:sz w:val="20"/>
                <w:szCs w:val="20"/>
              </w:rPr>
              <w:t>Počet centrálně nakoupených léčivých přípravků</w:t>
            </w:r>
          </w:p>
        </w:tc>
        <w:tc>
          <w:tcPr>
            <w:tcW w:w="208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240056E7" w14:textId="77777777">
            <w:pPr>
              <w:jc w:val="center"/>
              <w:rPr>
                <w:rFonts w:ascii="Calibri" w:hAnsi="Calibri" w:cs="Calibri"/>
                <w:color w:val="000000"/>
                <w:sz w:val="20"/>
                <w:szCs w:val="20"/>
              </w:rPr>
            </w:pPr>
            <w:r>
              <w:rPr>
                <w:rFonts w:ascii="Calibri" w:hAnsi="Calibri" w:cs="Calibri"/>
                <w:color w:val="000000"/>
                <w:sz w:val="20"/>
                <w:szCs w:val="20"/>
              </w:rPr>
              <w:t>Konkrétní léčivé přípravky, které budou s ohledem na své unikátní postavení na trhu v ČR a cenu centrálně nakupovány</w:t>
            </w:r>
          </w:p>
        </w:tc>
        <w:tc>
          <w:tcPr>
            <w:tcW w:w="2159"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3C129025" w14:textId="77777777">
            <w:pPr>
              <w:jc w:val="center"/>
              <w:rPr>
                <w:rFonts w:ascii="Calibri" w:hAnsi="Calibri" w:cs="Calibri"/>
                <w:color w:val="000000"/>
                <w:sz w:val="20"/>
                <w:szCs w:val="20"/>
              </w:rPr>
            </w:pPr>
            <w:r>
              <w:rPr>
                <w:rFonts w:ascii="Calibri" w:hAnsi="Calibri" w:cs="Calibri"/>
                <w:color w:val="000000"/>
                <w:sz w:val="20"/>
                <w:szCs w:val="20"/>
              </w:rPr>
              <w:t>Cílem opatření je společně nakupovat léčivé přípravky za účelem snížení jejich ceny, proto jsou společně nakoupené konkrétní léčivé přípravky jediným vhodným indikátorem</w:t>
            </w:r>
          </w:p>
        </w:tc>
        <w:tc>
          <w:tcPr>
            <w:tcW w:w="107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2F30A612" w14:textId="77777777">
            <w:pPr>
              <w:jc w:val="center"/>
              <w:rPr>
                <w:rFonts w:ascii="Calibri" w:hAnsi="Calibri" w:cs="Calibri"/>
                <w:color w:val="000000"/>
                <w:sz w:val="20"/>
                <w:szCs w:val="20"/>
              </w:rPr>
            </w:pPr>
            <w:r>
              <w:rPr>
                <w:rFonts w:ascii="Calibri" w:hAnsi="Calibri" w:cs="Calibri"/>
                <w:color w:val="000000"/>
                <w:sz w:val="20"/>
                <w:szCs w:val="20"/>
              </w:rPr>
              <w:t>SZP/VZP</w:t>
            </w:r>
          </w:p>
        </w:tc>
        <w:tc>
          <w:tcPr>
            <w:tcW w:w="122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785FD714" w14:textId="77777777">
            <w:pPr>
              <w:jc w:val="center"/>
              <w:rPr>
                <w:rFonts w:ascii="Calibri" w:hAnsi="Calibri" w:cs="Calibri"/>
                <w:color w:val="000000"/>
                <w:sz w:val="20"/>
                <w:szCs w:val="20"/>
              </w:rPr>
            </w:pPr>
            <w:r>
              <w:rPr>
                <w:rFonts w:ascii="Calibri" w:hAnsi="Calibri" w:cs="Calibri"/>
                <w:color w:val="000000"/>
                <w:sz w:val="20"/>
                <w:szCs w:val="20"/>
              </w:rPr>
              <w:t>SZP/VZP</w:t>
            </w:r>
          </w:p>
        </w:tc>
        <w:tc>
          <w:tcPr>
            <w:tcW w:w="109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0FCB129B" w14:textId="77777777">
            <w:pPr>
              <w:jc w:val="center"/>
              <w:rPr>
                <w:rFonts w:ascii="Calibri" w:hAnsi="Calibri" w:cs="Calibri"/>
                <w:color w:val="000000"/>
                <w:sz w:val="20"/>
                <w:szCs w:val="20"/>
              </w:rPr>
            </w:pPr>
            <w:r>
              <w:rPr>
                <w:rFonts w:ascii="Calibri" w:hAnsi="Calibri" w:cs="Calibri"/>
                <w:color w:val="000000"/>
                <w:sz w:val="20"/>
                <w:szCs w:val="20"/>
              </w:rPr>
              <w:t>ATC skupina</w:t>
            </w:r>
          </w:p>
        </w:tc>
        <w:tc>
          <w:tcPr>
            <w:tcW w:w="112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7C956CFE" w14:textId="77777777">
            <w:pPr>
              <w:jc w:val="center"/>
              <w:rPr>
                <w:rFonts w:ascii="Calibri" w:hAnsi="Calibri" w:cs="Calibri"/>
                <w:color w:val="000000"/>
                <w:sz w:val="20"/>
                <w:szCs w:val="20"/>
              </w:rPr>
            </w:pPr>
            <w:r>
              <w:rPr>
                <w:rFonts w:ascii="Calibri" w:hAnsi="Calibri" w:cs="Calibri"/>
                <w:color w:val="000000"/>
                <w:sz w:val="20"/>
                <w:szCs w:val="20"/>
              </w:rPr>
              <w:t>Průběžně</w:t>
            </w:r>
          </w:p>
        </w:tc>
        <w:tc>
          <w:tcPr>
            <w:tcW w:w="13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0B833E51" w14:textId="77777777">
            <w:pPr>
              <w:jc w:val="center"/>
              <w:rPr>
                <w:rFonts w:ascii="Calibri" w:hAnsi="Calibri" w:cs="Calibri"/>
                <w:color w:val="000000"/>
                <w:sz w:val="20"/>
                <w:szCs w:val="20"/>
              </w:rPr>
            </w:pPr>
            <w:r>
              <w:rPr>
                <w:rFonts w:ascii="Calibri" w:hAnsi="Calibri" w:cs="Calibri"/>
                <w:color w:val="000000"/>
                <w:sz w:val="20"/>
                <w:szCs w:val="20"/>
              </w:rPr>
              <w:t>0</w:t>
            </w:r>
          </w:p>
        </w:tc>
        <w:tc>
          <w:tcPr>
            <w:tcW w:w="13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44FA6E96" w14:textId="77777777">
            <w:pPr>
              <w:jc w:val="center"/>
              <w:rPr>
                <w:rFonts w:ascii="Calibri" w:hAnsi="Calibri" w:cs="Calibri"/>
                <w:color w:val="000000"/>
                <w:sz w:val="20"/>
                <w:szCs w:val="20"/>
              </w:rPr>
            </w:pPr>
            <w:r>
              <w:rPr>
                <w:rFonts w:ascii="Calibri" w:hAnsi="Calibri" w:cs="Calibri"/>
                <w:color w:val="000000"/>
                <w:sz w:val="20"/>
                <w:szCs w:val="20"/>
              </w:rPr>
              <w:t>0</w:t>
            </w:r>
          </w:p>
        </w:tc>
        <w:tc>
          <w:tcPr>
            <w:tcW w:w="8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56713D11" w14:textId="77777777">
            <w:pPr>
              <w:jc w:val="center"/>
              <w:rPr>
                <w:rFonts w:ascii="Calibri" w:hAnsi="Calibri" w:cs="Calibri"/>
                <w:color w:val="000000"/>
                <w:sz w:val="20"/>
                <w:szCs w:val="20"/>
              </w:rPr>
            </w:pPr>
          </w:p>
        </w:tc>
        <w:tc>
          <w:tcPr>
            <w:tcW w:w="88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9630D" w14:paraId="5140A771" w14:textId="77777777">
            <w:pPr>
              <w:jc w:val="center"/>
              <w:rPr>
                <w:rFonts w:ascii="Calibri" w:hAnsi="Calibri" w:cs="Calibri"/>
                <w:color w:val="000000"/>
                <w:sz w:val="20"/>
                <w:szCs w:val="20"/>
              </w:rPr>
            </w:pPr>
            <w:r>
              <w:rPr>
                <w:rFonts w:ascii="Calibri" w:hAnsi="Calibri" w:cs="Calibri"/>
                <w:color w:val="000000"/>
                <w:sz w:val="20"/>
                <w:szCs w:val="20"/>
              </w:rPr>
              <w:t>30</w:t>
            </w:r>
          </w:p>
        </w:tc>
      </w:tr>
    </w:tbl>
    <w:p w:rsidR="00960C9E" w:rsidRPr="00923D98" w:rsidP="00960C9E" w14:paraId="5FCF978B" w14:textId="78CFD6D4">
      <w:pPr>
        <w:jc w:val="both"/>
        <w:rPr>
          <w:rFonts w:asciiTheme="minorHAnsi" w:hAnsiTheme="minorHAnsi" w:cstheme="minorHAnsi"/>
          <w:sz w:val="20"/>
          <w:szCs w:val="20"/>
        </w:rPr>
      </w:pPr>
      <w:r w:rsidRPr="00923D98">
        <w:rPr>
          <w:rFonts w:asciiTheme="minorHAnsi" w:hAnsiTheme="minorHAnsi" w:cstheme="minorHAnsi"/>
          <w:sz w:val="20"/>
          <w:szCs w:val="20"/>
        </w:rPr>
        <w:t>Zdroj: vlastní zpracování</w:t>
      </w:r>
    </w:p>
    <w:p w:rsidR="00C13797" w:rsidRPr="00923D98" w:rsidP="00C13797" w14:paraId="1F998423" w14:textId="77777777">
      <w:pPr>
        <w:jc w:val="both"/>
        <w:rPr>
          <w:rFonts w:asciiTheme="minorHAnsi" w:hAnsiTheme="minorHAnsi" w:cstheme="minorHAnsi"/>
        </w:rPr>
      </w:pPr>
    </w:p>
    <w:p w:rsidR="00E9630D" w:rsidRPr="00872ED3" w:rsidP="00E9630D" w14:paraId="70E2F667" w14:textId="789C09B4">
      <w:pPr>
        <w:jc w:val="both"/>
        <w:rPr>
          <w:rFonts w:asciiTheme="minorHAnsi" w:hAnsiTheme="minorHAnsi" w:cs="Arial"/>
        </w:rPr>
      </w:pPr>
      <w:r w:rsidRPr="00AF515C">
        <w:rPr>
          <w:rFonts w:asciiTheme="minorHAnsi" w:hAnsiTheme="minorHAnsi" w:cs="Arial"/>
        </w:rPr>
        <w:t>Následně je pak u každého specifického cíle uveden soubor indikátorů, jak dopadových, tak výstupových/výsledkových pro každý dílčí cíl.</w:t>
      </w:r>
      <w:r>
        <w:rPr>
          <w:rFonts w:asciiTheme="minorHAnsi" w:hAnsiTheme="minorHAnsi" w:cs="Arial"/>
        </w:rPr>
        <w:t xml:space="preserve"> Tyto jsou podrobně rozepsány v příloze č. </w:t>
      </w:r>
      <w:r w:rsidR="00580B59">
        <w:rPr>
          <w:rFonts w:asciiTheme="minorHAnsi" w:hAnsiTheme="minorHAnsi" w:cs="Arial"/>
        </w:rPr>
        <w:t xml:space="preserve">1 </w:t>
      </w:r>
      <w:r w:rsidRPr="000F7244" w:rsidR="000F7244">
        <w:rPr>
          <w:rFonts w:asciiTheme="minorHAnsi" w:hAnsiTheme="minorHAnsi" w:cs="Arial"/>
        </w:rPr>
        <w:t>Strategického rámce Zdraví 2035 Indikátorová sada</w:t>
      </w:r>
      <w:r>
        <w:rPr>
          <w:rFonts w:asciiTheme="minorHAnsi" w:hAnsiTheme="minorHAnsi" w:cs="Arial"/>
        </w:rPr>
        <w:t>.</w:t>
      </w:r>
    </w:p>
    <w:p w:rsidR="00E9630D" w:rsidP="00960C9E" w14:paraId="67832F31" w14:textId="77777777">
      <w:pPr>
        <w:jc w:val="both"/>
        <w:rPr>
          <w:rFonts w:asciiTheme="minorHAnsi" w:hAnsiTheme="minorHAnsi" w:cstheme="minorHAnsi"/>
          <w:color w:val="000000" w:themeColor="text1"/>
        </w:rPr>
      </w:pPr>
    </w:p>
    <w:p w:rsidR="00960C9E" w:rsidRPr="00923D98" w:rsidP="00960C9E" w14:paraId="6246C54A" w14:textId="057EAB6D">
      <w:p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Indikátory </w:t>
      </w:r>
      <w:r w:rsidRPr="00923D98" w:rsidR="001A3CC6">
        <w:rPr>
          <w:rFonts w:asciiTheme="minorHAnsi" w:hAnsiTheme="minorHAnsi" w:cstheme="minorHAnsi"/>
          <w:color w:val="000000" w:themeColor="text1"/>
        </w:rPr>
        <w:t xml:space="preserve">budou průběžně doplňovány v návaznosti na </w:t>
      </w:r>
      <w:r w:rsidRPr="00923D98" w:rsidR="004D5446">
        <w:rPr>
          <w:rFonts w:asciiTheme="minorHAnsi" w:hAnsiTheme="minorHAnsi" w:cstheme="minorHAnsi"/>
          <w:color w:val="000000" w:themeColor="text1"/>
        </w:rPr>
        <w:t>legislativní změny a schválené projekty</w:t>
      </w:r>
      <w:r w:rsidRPr="00923D98">
        <w:rPr>
          <w:rFonts w:asciiTheme="minorHAnsi" w:hAnsiTheme="minorHAnsi" w:cstheme="minorHAnsi"/>
          <w:color w:val="000000" w:themeColor="text1"/>
        </w:rPr>
        <w:t xml:space="preserve">. </w:t>
      </w:r>
    </w:p>
    <w:p w:rsidR="00960C9E" w:rsidRPr="00923D98" w:rsidP="00C13797" w14:paraId="428768E3" w14:textId="77777777">
      <w:pPr>
        <w:jc w:val="both"/>
        <w:rPr>
          <w:rFonts w:asciiTheme="minorHAnsi" w:hAnsiTheme="minorHAnsi" w:cstheme="minorHAnsi"/>
        </w:rPr>
      </w:pPr>
    </w:p>
    <w:p w:rsidR="00DD2A28" w:rsidRPr="00923D98" w:rsidP="00C13797" w14:paraId="5F6F0117" w14:textId="6A17C488">
      <w:pPr>
        <w:jc w:val="both"/>
        <w:rPr>
          <w:rFonts w:asciiTheme="minorHAnsi" w:hAnsiTheme="minorHAnsi" w:cstheme="minorHAnsi"/>
        </w:rPr>
      </w:pPr>
    </w:p>
    <w:p w:rsidR="00960C9E" w:rsidRPr="00923D98" w14:paraId="1CC67747" w14:textId="77777777">
      <w:pPr>
        <w:rPr>
          <w:rFonts w:asciiTheme="minorHAnsi" w:hAnsiTheme="minorHAnsi" w:cstheme="minorHAnsi"/>
          <w:bCs/>
          <w:sz w:val="20"/>
          <w:szCs w:val="20"/>
        </w:rPr>
        <w:sectPr w:rsidSect="00960C9E">
          <w:pgSz w:w="16838" w:h="11906" w:orient="landscape"/>
          <w:pgMar w:top="1417" w:right="1417" w:bottom="1417" w:left="1417" w:header="708" w:footer="708" w:gutter="0"/>
          <w:cols w:space="708"/>
          <w:titlePg/>
          <w:docGrid w:linePitch="360"/>
        </w:sectPr>
      </w:pPr>
    </w:p>
    <w:p w:rsidR="00692BAA" w:rsidRPr="00923D98" w14:paraId="4BFDE264" w14:textId="77777777">
      <w:pPr>
        <w:rPr>
          <w:rFonts w:asciiTheme="minorHAnsi" w:hAnsiTheme="minorHAnsi" w:cstheme="minorHAnsi"/>
          <w:bCs/>
          <w:sz w:val="20"/>
          <w:szCs w:val="20"/>
        </w:rPr>
      </w:pPr>
    </w:p>
    <w:p w:rsidR="00584807" w:rsidRPr="00923D98" w14:paraId="65E2EF44" w14:textId="77777777">
      <w:pPr>
        <w:pStyle w:val="Heading1"/>
        <w:numPr>
          <w:ilvl w:val="0"/>
          <w:numId w:val="13"/>
        </w:numPr>
        <w:rPr>
          <w:rFonts w:cstheme="minorHAnsi"/>
        </w:rPr>
      </w:pPr>
      <w:bookmarkStart w:id="233" w:name="_Toc256000005"/>
      <w:r w:rsidRPr="00923D98">
        <w:rPr>
          <w:rFonts w:cstheme="minorHAnsi"/>
        </w:rPr>
        <w:t>I</w:t>
      </w:r>
      <w:r w:rsidRPr="00923D98">
        <w:rPr>
          <w:rFonts w:cstheme="minorHAnsi"/>
        </w:rPr>
        <w:t>mplementační struktura</w:t>
      </w:r>
      <w:bookmarkEnd w:id="233"/>
      <w:r w:rsidRPr="00923D98">
        <w:rPr>
          <w:rFonts w:cstheme="minorHAnsi"/>
        </w:rPr>
        <w:t xml:space="preserve"> </w:t>
      </w:r>
    </w:p>
    <w:p w:rsidR="00584807" w:rsidRPr="00923D98" w:rsidP="00F64A83" w14:paraId="4E01F4D8" w14:textId="77777777">
      <w:pPr>
        <w:autoSpaceDE w:val="0"/>
        <w:autoSpaceDN w:val="0"/>
        <w:adjustRightInd w:val="0"/>
        <w:rPr>
          <w:rFonts w:asciiTheme="minorHAnsi" w:hAnsiTheme="minorHAnsi" w:cstheme="minorHAnsi"/>
          <w:b/>
          <w:bCs/>
        </w:rPr>
      </w:pPr>
    </w:p>
    <w:p w:rsidR="00960C9E" w:rsidRPr="00923D98" w:rsidP="00960C9E" w14:paraId="078A587D" w14:textId="77777777">
      <w:pPr>
        <w:jc w:val="both"/>
        <w:rPr>
          <w:rFonts w:asciiTheme="minorHAnsi" w:hAnsiTheme="minorHAnsi" w:cstheme="minorHAnsi"/>
        </w:rPr>
      </w:pPr>
      <w:r w:rsidRPr="00923D98">
        <w:rPr>
          <w:rFonts w:asciiTheme="minorHAnsi" w:hAnsiTheme="minorHAnsi" w:cstheme="minorHAnsi"/>
        </w:rPr>
        <w:t xml:space="preserve">Garantem provádění Strategického rámce Zdraví 2035 a jeho implementačních plánů je Ministerstvo zdravotnictví. Zastřešujícím orgánem, který vykonává dohledovou a kontrolní činnosti nad realizací Strategického rámce Zdraví 2035 a implementačních plánů, je vedení Ministerstva zdravotnictví, které projednává a schvaluje klíčové dokumenty a zajišťuje vzájemný soulad realizace Strategického rámce Zdraví 2035 a všech jeho implementačních plánů a dalších souvisejících dokumentů. </w:t>
      </w:r>
    </w:p>
    <w:p w:rsidR="00960C9E" w:rsidRPr="00923D98" w:rsidP="00960C9E" w14:paraId="61716A42" w14:textId="77777777">
      <w:pPr>
        <w:jc w:val="both"/>
        <w:rPr>
          <w:rFonts w:asciiTheme="minorHAnsi" w:hAnsiTheme="minorHAnsi" w:cstheme="minorHAnsi"/>
        </w:rPr>
      </w:pPr>
    </w:p>
    <w:p w:rsidR="00960C9E" w:rsidRPr="00923D98" w:rsidP="00960C9E" w14:paraId="57063E51" w14:textId="77777777">
      <w:pPr>
        <w:jc w:val="both"/>
        <w:rPr>
          <w:rFonts w:asciiTheme="minorHAnsi" w:hAnsiTheme="minorHAnsi" w:cstheme="minorHAnsi"/>
          <w:color w:val="000000" w:themeColor="text1"/>
        </w:rPr>
      </w:pPr>
      <w:r w:rsidRPr="00923D98">
        <w:rPr>
          <w:rFonts w:asciiTheme="minorHAnsi" w:hAnsiTheme="minorHAnsi" w:cstheme="minorHAnsi"/>
        </w:rPr>
        <w:t xml:space="preserve">Jako poradní orgán ministra </w:t>
      </w:r>
      <w:r w:rsidRPr="00923D98">
        <w:rPr>
          <w:rFonts w:asciiTheme="minorHAnsi" w:hAnsiTheme="minorHAnsi" w:cstheme="minorHAnsi"/>
          <w:color w:val="000000" w:themeColor="text1"/>
        </w:rPr>
        <w:t xml:space="preserve">zdravotnictví v oblasti implementace Zdraví 2035 je příkazem ministra č. </w:t>
      </w:r>
      <w:bookmarkStart w:id="234" w:name="_Hlk186660409"/>
      <w:r w:rsidRPr="00923D98">
        <w:rPr>
          <w:rFonts w:asciiTheme="minorHAnsi" w:hAnsiTheme="minorHAnsi" w:cstheme="minorHAnsi"/>
        </w:rPr>
        <w:t>26/2023</w:t>
      </w:r>
      <w:r>
        <w:rPr>
          <w:rStyle w:val="FootnoteReference"/>
          <w:rFonts w:asciiTheme="minorHAnsi" w:hAnsiTheme="minorHAnsi" w:cstheme="minorHAnsi"/>
        </w:rPr>
        <w:footnoteReference w:id="9"/>
      </w:r>
      <w:r w:rsidRPr="00923D98">
        <w:rPr>
          <w:rFonts w:asciiTheme="minorHAnsi" w:hAnsiTheme="minorHAnsi" w:cstheme="minorHAnsi"/>
        </w:rPr>
        <w:t xml:space="preserve"> </w:t>
      </w:r>
      <w:bookmarkEnd w:id="234"/>
      <w:r w:rsidRPr="00923D98">
        <w:rPr>
          <w:rFonts w:asciiTheme="minorHAnsi" w:hAnsiTheme="minorHAnsi" w:cstheme="minorHAnsi"/>
          <w:color w:val="000000" w:themeColor="text1"/>
        </w:rPr>
        <w:t xml:space="preserve">zřízen Řídicí výbor implementace Strategického rámce rozvoje péče o zdraví v České republice do roku 2035, který byl dále upraven příkazem ministra č. 26/2023 ze dne 21. dubna 2023 (dále jen „Řídicí výbor Zdraví 2035“), jehož činnost spočívá především v </w:t>
      </w:r>
    </w:p>
    <w:p w:rsidR="00960C9E" w:rsidRPr="00923D98" w:rsidP="00960C9E" w14:paraId="25918930" w14:textId="77777777">
      <w:pPr>
        <w:pStyle w:val="ListParagraph"/>
        <w:numPr>
          <w:ilvl w:val="0"/>
          <w:numId w:val="16"/>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dohledu nad implementací Zdraví 2035 vč. jeho implementačních plánů,</w:t>
      </w:r>
    </w:p>
    <w:p w:rsidR="00960C9E" w:rsidRPr="00923D98" w:rsidP="00960C9E" w14:paraId="5B48AF28" w14:textId="77777777">
      <w:pPr>
        <w:pStyle w:val="ListParagraph"/>
        <w:numPr>
          <w:ilvl w:val="0"/>
          <w:numId w:val="16"/>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dohledu nad řízením rizik v rámci implementace jednotlivých implementačních plánů, </w:t>
      </w:r>
    </w:p>
    <w:p w:rsidR="00960C9E" w:rsidRPr="00923D98" w:rsidP="00960C9E" w14:paraId="0E747EA1" w14:textId="77777777">
      <w:pPr>
        <w:pStyle w:val="ListParagraph"/>
        <w:numPr>
          <w:ilvl w:val="0"/>
          <w:numId w:val="16"/>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vzájemné koordinaci realizace implementačních plánů, </w:t>
      </w:r>
    </w:p>
    <w:p w:rsidR="00960C9E" w:rsidRPr="00923D98" w:rsidP="00960C9E" w14:paraId="262AABF3" w14:textId="77777777">
      <w:pPr>
        <w:pStyle w:val="ListParagraph"/>
        <w:numPr>
          <w:ilvl w:val="0"/>
          <w:numId w:val="16"/>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koordinaci příprav revizí dokumentů a pravidelných zpráv o průběhu implementace,</w:t>
      </w:r>
    </w:p>
    <w:p w:rsidR="00960C9E" w:rsidRPr="00923D98" w:rsidP="00960C9E" w14:paraId="4E134B5D" w14:textId="77777777">
      <w:pPr>
        <w:pStyle w:val="ListParagraph"/>
        <w:numPr>
          <w:ilvl w:val="0"/>
          <w:numId w:val="16"/>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posouzení podstatných změn Zdraví 2035 a implementačních plánů.    </w:t>
      </w:r>
    </w:p>
    <w:p w:rsidR="00960C9E" w:rsidRPr="00923D98" w:rsidP="00960C9E" w14:paraId="553F1091" w14:textId="77777777">
      <w:pPr>
        <w:jc w:val="both"/>
        <w:rPr>
          <w:rFonts w:asciiTheme="minorHAnsi" w:hAnsiTheme="minorHAnsi" w:cstheme="minorHAnsi"/>
          <w:color w:val="000000" w:themeColor="text1"/>
        </w:rPr>
      </w:pPr>
    </w:p>
    <w:p w:rsidR="00960C9E" w:rsidRPr="00923D98" w:rsidP="00960C9E" w14:paraId="6FD147F1" w14:textId="64993C04">
      <w:p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Za realizaci </w:t>
      </w:r>
      <w:r w:rsidRPr="00923D98" w:rsidR="002426F9">
        <w:rPr>
          <w:rFonts w:asciiTheme="minorHAnsi" w:hAnsiTheme="minorHAnsi" w:cstheme="minorHAnsi"/>
          <w:color w:val="000000" w:themeColor="text1"/>
        </w:rPr>
        <w:t>implementačního plánu</w:t>
      </w:r>
      <w:r w:rsidRPr="00923D98" w:rsidR="000A517C">
        <w:rPr>
          <w:rFonts w:asciiTheme="minorHAnsi" w:hAnsiTheme="minorHAnsi" w:cstheme="minorHAnsi"/>
          <w:color w:val="000000" w:themeColor="text1"/>
        </w:rPr>
        <w:t xml:space="preserve"> 1.3</w:t>
      </w:r>
      <w:r w:rsidRPr="00923D98" w:rsidR="002426F9">
        <w:rPr>
          <w:rFonts w:asciiTheme="minorHAnsi" w:hAnsiTheme="minorHAnsi" w:cstheme="minorHAnsi"/>
          <w:color w:val="000000" w:themeColor="text1"/>
        </w:rPr>
        <w:t xml:space="preserve"> </w:t>
      </w:r>
      <w:r w:rsidRPr="00923D98">
        <w:rPr>
          <w:rFonts w:asciiTheme="minorHAnsi" w:hAnsiTheme="minorHAnsi" w:cstheme="minorHAnsi"/>
          <w:color w:val="000000" w:themeColor="text1"/>
        </w:rPr>
        <w:t xml:space="preserve">je zodpovědný </w:t>
      </w:r>
      <w:r w:rsidRPr="00923D98" w:rsidR="00DD2A28">
        <w:rPr>
          <w:rFonts w:asciiTheme="minorHAnsi" w:hAnsiTheme="minorHAnsi" w:cstheme="minorHAnsi"/>
          <w:color w:val="000000" w:themeColor="text1"/>
        </w:rPr>
        <w:t>gestor</w:t>
      </w:r>
      <w:r w:rsidRPr="00923D98" w:rsidR="009C3B3A">
        <w:rPr>
          <w:rFonts w:asciiTheme="minorHAnsi" w:hAnsiTheme="minorHAnsi" w:cstheme="minorHAnsi"/>
          <w:color w:val="000000" w:themeColor="text1"/>
        </w:rPr>
        <w:t>, kterým je</w:t>
      </w:r>
      <w:r w:rsidRPr="00923D98" w:rsidR="0077623E">
        <w:rPr>
          <w:rFonts w:asciiTheme="minorHAnsi" w:hAnsiTheme="minorHAnsi" w:cstheme="minorHAnsi"/>
          <w:color w:val="000000" w:themeColor="text1"/>
        </w:rPr>
        <w:t xml:space="preserve"> </w:t>
      </w:r>
      <w:r w:rsidRPr="00923D98" w:rsidR="00001DE2">
        <w:rPr>
          <w:rFonts w:asciiTheme="minorHAnsi" w:hAnsiTheme="minorHAnsi" w:cstheme="minorHAnsi"/>
          <w:b/>
          <w:bCs/>
          <w:color w:val="000000" w:themeColor="text1"/>
        </w:rPr>
        <w:t>náměstek ministra</w:t>
      </w:r>
      <w:r w:rsidRPr="00923D98" w:rsidR="00B518DB">
        <w:rPr>
          <w:rFonts w:asciiTheme="minorHAnsi" w:hAnsiTheme="minorHAnsi" w:cstheme="minorHAnsi"/>
          <w:b/>
          <w:bCs/>
          <w:color w:val="000000" w:themeColor="text1"/>
        </w:rPr>
        <w:t xml:space="preserve"> (NAM/1</w:t>
      </w:r>
      <w:r w:rsidRPr="00923D98" w:rsidR="0031010D">
        <w:rPr>
          <w:rFonts w:asciiTheme="minorHAnsi" w:hAnsiTheme="minorHAnsi" w:cstheme="minorHAnsi"/>
          <w:b/>
          <w:bCs/>
          <w:color w:val="000000" w:themeColor="text1"/>
        </w:rPr>
        <w:t>).</w:t>
      </w:r>
      <w:r w:rsidRPr="00923D98">
        <w:rPr>
          <w:rFonts w:asciiTheme="minorHAnsi" w:hAnsiTheme="minorHAnsi" w:cstheme="minorHAnsi"/>
          <w:color w:val="000000" w:themeColor="text1"/>
        </w:rPr>
        <w:t xml:space="preserve"> Komplexní zprávu o průběhu realizace implementačního plánu (nebo také „hodnoticí zpráva“), gestor </w:t>
      </w:r>
      <w:r w:rsidRPr="00923D98">
        <w:rPr>
          <w:rFonts w:asciiTheme="minorHAnsi" w:hAnsiTheme="minorHAnsi" w:cstheme="minorHAnsi"/>
          <w:color w:val="000000" w:themeColor="text1"/>
        </w:rPr>
        <w:t>vytváří</w:t>
      </w:r>
      <w:r w:rsidRPr="00923D98">
        <w:rPr>
          <w:rFonts w:asciiTheme="minorHAnsi" w:hAnsiTheme="minorHAnsi" w:cstheme="minorHAnsi"/>
          <w:color w:val="000000" w:themeColor="text1"/>
        </w:rPr>
        <w:t xml:space="preserve"> na základě dílčích zpráv o plnění jednotlivých dílčích cílů, </w:t>
      </w:r>
      <w:r w:rsidRPr="00923D98" w:rsidR="00F7134E">
        <w:rPr>
          <w:rFonts w:asciiTheme="minorHAnsi" w:hAnsiTheme="minorHAnsi" w:cstheme="minorHAnsi"/>
          <w:color w:val="000000" w:themeColor="text1"/>
        </w:rPr>
        <w:t>sekce ekonomiky a zdravotního pojištění</w:t>
      </w:r>
      <w:r w:rsidRPr="00923D98" w:rsidR="00734DEB">
        <w:rPr>
          <w:rFonts w:asciiTheme="minorHAnsi" w:hAnsiTheme="minorHAnsi" w:cstheme="minorHAnsi"/>
          <w:color w:val="000000" w:themeColor="text1"/>
        </w:rPr>
        <w:t xml:space="preserve"> </w:t>
      </w:r>
      <w:r w:rsidRPr="00923D98">
        <w:rPr>
          <w:rFonts w:asciiTheme="minorHAnsi" w:hAnsiTheme="minorHAnsi" w:cstheme="minorHAnsi"/>
          <w:color w:val="000000" w:themeColor="text1"/>
        </w:rPr>
        <w:t>a pravidelně ji předkládá Řídicímu výboru Zdraví 2035 a následně poradě vedení MZD dle harmonogramu uvedeného ve Strategickém rámci Zdraví 2035.</w:t>
      </w:r>
      <w:r w:rsidRPr="00923D98" w:rsidR="0087376A">
        <w:rPr>
          <w:rFonts w:asciiTheme="minorHAnsi" w:hAnsiTheme="minorHAnsi" w:cstheme="minorHAnsi"/>
          <w:color w:val="000000" w:themeColor="text1"/>
        </w:rPr>
        <w:t xml:space="preserve"> </w:t>
      </w:r>
    </w:p>
    <w:p w:rsidR="00AA74D2" w:rsidRPr="00923D98" w:rsidP="004D338D" w14:paraId="29D4129F" w14:textId="623843E7">
      <w:pPr>
        <w:pStyle w:val="Caption"/>
        <w:rPr>
          <w:rFonts w:asciiTheme="minorHAnsi" w:hAnsiTheme="minorHAnsi" w:cstheme="minorHAnsi"/>
          <w:color w:val="000000" w:themeColor="text1"/>
        </w:rPr>
      </w:pPr>
      <w:bookmarkStart w:id="235" w:name="_Toc256000011"/>
      <w:r w:rsidRPr="00923D98">
        <w:rPr>
          <w:rFonts w:asciiTheme="minorHAnsi" w:hAnsiTheme="minorHAnsi" w:cstheme="minorHAnsi"/>
        </w:rPr>
        <w:t xml:space="preserve">Obrázek </w:t>
      </w:r>
      <w:r w:rsidRPr="00923D98">
        <w:rPr>
          <w:rFonts w:asciiTheme="minorHAnsi" w:hAnsiTheme="minorHAnsi" w:cstheme="minorHAnsi"/>
        </w:rPr>
        <w:fldChar w:fldCharType="begin"/>
      </w:r>
      <w:r w:rsidRPr="00923D98">
        <w:rPr>
          <w:rFonts w:asciiTheme="minorHAnsi" w:hAnsiTheme="minorHAnsi" w:cstheme="minorHAnsi"/>
        </w:rPr>
        <w:instrText xml:space="preserve"> SEQ Obrázek \* ARABIC </w:instrText>
      </w:r>
      <w:r w:rsidRPr="00923D98">
        <w:rPr>
          <w:rFonts w:asciiTheme="minorHAnsi" w:hAnsiTheme="minorHAnsi" w:cstheme="minorHAnsi"/>
        </w:rPr>
        <w:fldChar w:fldCharType="separate"/>
      </w:r>
      <w:r w:rsidRPr="00923D98">
        <w:rPr>
          <w:rFonts w:asciiTheme="minorHAnsi" w:hAnsiTheme="minorHAnsi" w:cstheme="minorHAnsi"/>
        </w:rPr>
        <w:t>2</w:t>
      </w:r>
      <w:r w:rsidRPr="00923D98">
        <w:rPr>
          <w:rFonts w:asciiTheme="minorHAnsi" w:hAnsiTheme="minorHAnsi" w:cstheme="minorHAnsi"/>
        </w:rPr>
        <w:fldChar w:fldCharType="end"/>
      </w:r>
      <w:r w:rsidRPr="00923D98">
        <w:rPr>
          <w:rFonts w:asciiTheme="minorHAnsi" w:hAnsiTheme="minorHAnsi" w:cstheme="minorHAnsi"/>
        </w:rPr>
        <w:t xml:space="preserve"> Schéma realizační struktury</w:t>
      </w:r>
      <w:bookmarkEnd w:id="235"/>
      <w:r w:rsidRPr="00923D98" w:rsidR="00960C9E">
        <w:rPr>
          <w:rFonts w:asciiTheme="minorHAnsi" w:hAnsiTheme="minorHAnsi" w:cstheme="minorHAnsi"/>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443230</wp:posOffset>
                </wp:positionH>
                <wp:positionV relativeFrom="paragraph">
                  <wp:posOffset>187960</wp:posOffset>
                </wp:positionV>
                <wp:extent cx="2209800" cy="885825"/>
                <wp:effectExtent l="0" t="0" r="19050" b="28575"/>
                <wp:wrapNone/>
                <wp:docPr id="1737133602" name="Obdélník: se zakulacenými rohy 1"/>
                <wp:cNvGraphicFramePr/>
                <a:graphic xmlns:a="http://schemas.openxmlformats.org/drawingml/2006/main">
                  <a:graphicData uri="http://schemas.microsoft.com/office/word/2010/wordprocessingShape">
                    <wps:wsp xmlns:wps="http://schemas.microsoft.com/office/word/2010/wordprocessingShape">
                      <wps:cNvSpPr/>
                      <wps:spPr>
                        <a:xfrm>
                          <a:off x="0" y="0"/>
                          <a:ext cx="2209800" cy="885825"/>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rsidR="00960C9E" w:rsidP="00960C9E" w14:textId="4DACEF0E">
                            <w:pPr>
                              <w:jc w:val="center"/>
                            </w:pPr>
                            <w:r>
                              <w:t>Gestor NAM/1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anchor>
            </w:drawing>
          </mc:Choice>
          <mc:Fallback>
            <w:pict>
              <v:roundrect id="Obdélník: se zakulacenými rohy 1" o:spid="_x0000_s1025" style="width:174pt;height:69.75pt;margin-top:14.8pt;margin-left:34.9pt;mso-wrap-distance-bottom:0;mso-wrap-distance-left:9pt;mso-wrap-distance-right:9pt;mso-wrap-distance-top:0;mso-wrap-style:square;position:absolute;visibility:visible;v-text-anchor:middle;z-index:251659264" arcsize="10923f" fillcolor="#4f81bd" strokecolor="#0a121c" strokeweight="2pt">
                <v:textbox>
                  <w:txbxContent>
                    <w:p w:rsidR="00960C9E" w:rsidP="00960C9E" w14:paraId="2141EC96" w14:textId="4DACEF0E">
                      <w:pPr>
                        <w:jc w:val="center"/>
                      </w:pPr>
                      <w:r>
                        <w:t>Gestor NAM/1</w:t>
                      </w:r>
                    </w:p>
                  </w:txbxContent>
                </v:textbox>
              </v:roundrect>
            </w:pict>
          </mc:Fallback>
        </mc:AlternateContent>
      </w:r>
    </w:p>
    <w:p w:rsidR="00960C9E" w:rsidRPr="00923D98" w:rsidP="004D338D" w14:paraId="6E6D51E8" w14:textId="77777777">
      <w:pPr>
        <w:rPr>
          <w:rFonts w:asciiTheme="minorHAnsi" w:hAnsiTheme="minorHAnsi" w:cstheme="minorHAnsi"/>
          <w:color w:val="000000" w:themeColor="text1"/>
        </w:rPr>
      </w:pPr>
    </w:p>
    <w:p w:rsidR="00692BAA" w:rsidRPr="00923D98" w:rsidP="004D338D" w14:paraId="3B2297F8" w14:textId="77777777">
      <w:pPr>
        <w:rPr>
          <w:rFonts w:asciiTheme="minorHAnsi" w:hAnsiTheme="minorHAnsi" w:cstheme="minorHAnsi"/>
          <w:color w:val="000000" w:themeColor="text1"/>
        </w:rPr>
      </w:pPr>
    </w:p>
    <w:p w:rsidR="00692BAA" w:rsidRPr="00923D98" w:rsidP="004D338D" w14:paraId="392CDD96" w14:textId="77777777">
      <w:pPr>
        <w:rPr>
          <w:rFonts w:asciiTheme="minorHAnsi" w:hAnsiTheme="minorHAnsi" w:cstheme="minorHAnsi"/>
          <w:color w:val="000000" w:themeColor="text1"/>
        </w:rPr>
      </w:pPr>
    </w:p>
    <w:p w:rsidR="00692BAA" w:rsidRPr="00923D98" w:rsidP="004D338D" w14:paraId="093D8AD4" w14:textId="77777777">
      <w:pPr>
        <w:rPr>
          <w:rFonts w:asciiTheme="minorHAnsi" w:hAnsiTheme="minorHAnsi" w:cstheme="minorHAnsi"/>
          <w:color w:val="000000" w:themeColor="text1"/>
        </w:rPr>
      </w:pPr>
    </w:p>
    <w:p w:rsidR="00692BAA" w:rsidRPr="00923D98" w:rsidP="004D338D" w14:paraId="1903977F" w14:textId="203B187D">
      <w:pPr>
        <w:rPr>
          <w:rFonts w:asciiTheme="minorHAnsi" w:hAnsiTheme="minorHAnsi" w:cstheme="minorHAnsi"/>
          <w:color w:val="000000" w:themeColor="text1"/>
        </w:rPr>
      </w:pPr>
      <w:r w:rsidRPr="00923D98">
        <w:rPr>
          <w:rFonts w:asciiTheme="minorHAnsi" w:hAnsiTheme="minorHAnsi" w:cstheme="minorHAnsi"/>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500380</wp:posOffset>
                </wp:positionH>
                <wp:positionV relativeFrom="paragraph">
                  <wp:posOffset>172085</wp:posOffset>
                </wp:positionV>
                <wp:extent cx="190500" cy="390525"/>
                <wp:effectExtent l="38100" t="0" r="19050" b="47625"/>
                <wp:wrapNone/>
                <wp:docPr id="1424298345" name="Přímá spojnice se šipkou 2"/>
                <wp:cNvGraphicFramePr/>
                <a:graphic xmlns:a="http://schemas.openxmlformats.org/drawingml/2006/main">
                  <a:graphicData uri="http://schemas.microsoft.com/office/word/2010/wordprocessingShape">
                    <wps:wsp xmlns:wps="http://schemas.microsoft.com/office/word/2010/wordprocessingShape">
                      <wps:cNvCnPr/>
                      <wps:spPr>
                        <a:xfrm flipH="1">
                          <a:off x="0" y="0"/>
                          <a:ext cx="19050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Přímá spojnice se šipkou 2" o:spid="_x0000_s1026" type="#_x0000_t32" style="width:15pt;height:30.75pt;margin-top:13.55pt;margin-left:39.4pt;flip:x;mso-wrap-distance-bottom:0;mso-wrap-distance-left:9pt;mso-wrap-distance-right:9pt;mso-wrap-distance-top:0;mso-wrap-style:square;position:absolute;visibility:visible;z-index:251661312" strokecolor="#4579b8">
                <v:stroke endarrow="block"/>
              </v:shape>
            </w:pict>
          </mc:Fallback>
        </mc:AlternateContent>
      </w:r>
    </w:p>
    <w:p w:rsidR="00692BAA" w:rsidRPr="00923D98" w:rsidP="004D338D" w14:paraId="39D7AA9E" w14:textId="1C1DBC39">
      <w:pPr>
        <w:rPr>
          <w:rFonts w:asciiTheme="minorHAnsi" w:hAnsiTheme="minorHAnsi" w:cstheme="minorHAnsi"/>
          <w:color w:val="000000" w:themeColor="text1"/>
        </w:rPr>
      </w:pPr>
      <w:r w:rsidRPr="00923D98">
        <w:rPr>
          <w:rFonts w:asciiTheme="minorHAnsi" w:hAnsiTheme="minorHAnsi" w:cstheme="minorHAnsi"/>
          <w:noProof/>
          <w:color w:val="000000" w:themeColor="text1"/>
        </w:rPr>
        <mc:AlternateContent>
          <mc:Choice Requires="wps">
            <w:drawing>
              <wp:anchor distT="0" distB="0" distL="114300" distR="114300" simplePos="0" relativeHeight="251664384" behindDoc="0" locked="0" layoutInCell="1" allowOverlap="1">
                <wp:simplePos x="0" y="0"/>
                <wp:positionH relativeFrom="column">
                  <wp:posOffset>2672080</wp:posOffset>
                </wp:positionH>
                <wp:positionV relativeFrom="paragraph">
                  <wp:posOffset>24130</wp:posOffset>
                </wp:positionV>
                <wp:extent cx="428625" cy="361950"/>
                <wp:effectExtent l="38100" t="38100" r="47625" b="57150"/>
                <wp:wrapNone/>
                <wp:docPr id="178597467" name="Přímá spojnice se šipkou 4"/>
                <wp:cNvGraphicFramePr/>
                <a:graphic xmlns:a="http://schemas.openxmlformats.org/drawingml/2006/main">
                  <a:graphicData uri="http://schemas.microsoft.com/office/word/2010/wordprocessingShape">
                    <wps:wsp xmlns:wps="http://schemas.microsoft.com/office/word/2010/wordprocessingShape">
                      <wps:cNvCnPr/>
                      <wps:spPr>
                        <a:xfrm>
                          <a:off x="0" y="0"/>
                          <a:ext cx="428625" cy="3619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Přímá spojnice se šipkou 4" o:spid="_x0000_s1027" type="#_x0000_t32" style="width:33.75pt;height:28.5pt;margin-top:1.9pt;margin-left:210.4pt;mso-wrap-distance-bottom:0;mso-wrap-distance-left:9pt;mso-wrap-distance-right:9pt;mso-wrap-distance-top:0;mso-wrap-style:square;position:absolute;visibility:visible;z-index:251665408" strokecolor="#4579b8">
                <v:stroke startarrow="block" endarrow="block"/>
              </v:shape>
            </w:pict>
          </mc:Fallback>
        </mc:AlternateContent>
      </w:r>
    </w:p>
    <w:p w:rsidR="00692BAA" w:rsidRPr="00923D98" w:rsidP="004D338D" w14:paraId="21B9542E" w14:textId="77777777">
      <w:pPr>
        <w:rPr>
          <w:rFonts w:asciiTheme="minorHAnsi" w:hAnsiTheme="minorHAnsi" w:cstheme="minorHAnsi"/>
          <w:color w:val="000000" w:themeColor="text1"/>
        </w:rPr>
      </w:pPr>
    </w:p>
    <w:p w:rsidR="00AA74D2" w:rsidRPr="00923D98" w:rsidP="004D338D" w14:paraId="5DDF27F3" w14:textId="34CCEDF8">
      <w:pPr>
        <w:rPr>
          <w:rFonts w:asciiTheme="minorHAnsi" w:hAnsiTheme="minorHAnsi" w:cstheme="minorHAnsi"/>
          <w:color w:val="000000" w:themeColor="text1"/>
        </w:rPr>
      </w:pPr>
    </w:p>
    <w:p w:rsidR="00960C9E" w:rsidRPr="00923D98" w:rsidP="004D338D" w14:paraId="3774A86F" w14:textId="12882519">
      <w:pPr>
        <w:rPr>
          <w:rFonts w:asciiTheme="minorHAnsi" w:hAnsiTheme="minorHAnsi" w:cstheme="minorHAnsi"/>
          <w:color w:val="000000" w:themeColor="text1"/>
        </w:rPr>
      </w:pPr>
      <w:r w:rsidRPr="00923D98">
        <w:rPr>
          <w:rFonts w:asciiTheme="minorHAnsi" w:hAnsiTheme="minorHAnsi" w:cstheme="minorHAnsi"/>
          <w:noProof/>
          <w:color w:val="000000" w:themeColor="text1"/>
        </w:rPr>
        <mc:AlternateContent>
          <mc:Choice Requires="wps">
            <w:drawing>
              <wp:anchor distT="0" distB="0" distL="114300" distR="114300" simplePos="0" relativeHeight="251666432" behindDoc="0" locked="0" layoutInCell="1" allowOverlap="1">
                <wp:simplePos x="0" y="0"/>
                <wp:positionH relativeFrom="column">
                  <wp:posOffset>3091180</wp:posOffset>
                </wp:positionH>
                <wp:positionV relativeFrom="paragraph">
                  <wp:posOffset>9525</wp:posOffset>
                </wp:positionV>
                <wp:extent cx="1485900" cy="857250"/>
                <wp:effectExtent l="0" t="0" r="19050" b="19050"/>
                <wp:wrapNone/>
                <wp:docPr id="1266062937" name="Obdélník: se zakulacenými rohy 5"/>
                <wp:cNvGraphicFramePr/>
                <a:graphic xmlns:a="http://schemas.openxmlformats.org/drawingml/2006/main">
                  <a:graphicData uri="http://schemas.microsoft.com/office/word/2010/wordprocessingShape">
                    <wps:wsp xmlns:wps="http://schemas.microsoft.com/office/word/2010/wordprocessingShape">
                      <wps:cNvSpPr/>
                      <wps:spPr>
                        <a:xfrm>
                          <a:off x="0" y="0"/>
                          <a:ext cx="1485900" cy="857250"/>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rsidR="00960C9E" w:rsidP="00960C9E" w14:textId="196D91D2">
                            <w:pPr>
                              <w:jc w:val="center"/>
                            </w:pPr>
                            <w:r>
                              <w:t>Spolupráce SÚKL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anchor>
            </w:drawing>
          </mc:Choice>
          <mc:Fallback>
            <w:pict>
              <v:roundrect id="Obdélník: se zakulacenými rohy 5" o:spid="_x0000_s1028" style="width:117pt;height:67.5pt;margin-top:0.75pt;margin-left:243.4pt;mso-wrap-distance-bottom:0;mso-wrap-distance-left:9pt;mso-wrap-distance-right:9pt;mso-wrap-distance-top:0;mso-wrap-style:square;position:absolute;visibility:visible;v-text-anchor:middle;z-index:251667456" arcsize="10923f" fillcolor="#4f81bd" strokecolor="#0a121c" strokeweight="2pt">
                <v:textbox>
                  <w:txbxContent>
                    <w:p w:rsidR="00960C9E" w:rsidP="00960C9E" w14:paraId="30EB19C0" w14:textId="196D91D2">
                      <w:pPr>
                        <w:jc w:val="center"/>
                      </w:pPr>
                      <w:r>
                        <w:t>Spolupráce SÚKL</w:t>
                      </w:r>
                    </w:p>
                  </w:txbxContent>
                </v:textbox>
              </v:roundrect>
            </w:pict>
          </mc:Fallback>
        </mc:AlternateContent>
      </w:r>
      <w:r w:rsidRPr="00923D98">
        <w:rPr>
          <w:rFonts w:asciiTheme="minorHAnsi" w:hAnsiTheme="minorHAnsi" w:cstheme="minorHAnsi"/>
          <w:noProof/>
          <w:color w:val="000000" w:themeColor="text1"/>
        </w:rPr>
        <mc:AlternateContent>
          <mc:Choice Requires="wps">
            <w:drawing>
              <wp:anchor distT="0" distB="0" distL="114300" distR="114300" simplePos="0" relativeHeight="251662336" behindDoc="0" locked="0" layoutInCell="1" allowOverlap="1">
                <wp:simplePos x="0" y="0"/>
                <wp:positionH relativeFrom="column">
                  <wp:posOffset>100330</wp:posOffset>
                </wp:positionH>
                <wp:positionV relativeFrom="paragraph">
                  <wp:posOffset>38100</wp:posOffset>
                </wp:positionV>
                <wp:extent cx="1571625" cy="857250"/>
                <wp:effectExtent l="0" t="0" r="28575" b="19050"/>
                <wp:wrapNone/>
                <wp:docPr id="4512693" name="Obdélník: se zakulacenými rohy 3"/>
                <wp:cNvGraphicFramePr/>
                <a:graphic xmlns:a="http://schemas.openxmlformats.org/drawingml/2006/main">
                  <a:graphicData uri="http://schemas.microsoft.com/office/word/2010/wordprocessingShape">
                    <wps:wsp xmlns:wps="http://schemas.microsoft.com/office/word/2010/wordprocessingShape">
                      <wps:cNvSpPr/>
                      <wps:spPr>
                        <a:xfrm>
                          <a:off x="0" y="0"/>
                          <a:ext cx="1571625" cy="857250"/>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rsidR="00960C9E" w:rsidP="00960C9E" w14:textId="3D8FC504">
                            <w:pPr>
                              <w:jc w:val="center"/>
                            </w:pPr>
                            <w:r>
                              <w:t>SC 1.3</w:t>
                            </w:r>
                          </w:p>
                          <w:p w:rsidR="00960C9E" w:rsidP="00960C9E" w14:textId="72FA76E0">
                            <w:pPr>
                              <w:jc w:val="center"/>
                            </w:pPr>
                            <w:r>
                              <w:t>SE/OLPZ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anchor>
            </w:drawing>
          </mc:Choice>
          <mc:Fallback>
            <w:pict>
              <v:roundrect id="Obdélník: se zakulacenými rohy 3" o:spid="_x0000_s1029" style="width:123.75pt;height:67.5pt;margin-top:3pt;margin-left:7.9pt;mso-wrap-distance-bottom:0;mso-wrap-distance-left:9pt;mso-wrap-distance-right:9pt;mso-wrap-distance-top:0;mso-wrap-style:square;position:absolute;visibility:visible;v-text-anchor:middle;z-index:251663360" arcsize="10923f" fillcolor="#4f81bd" strokecolor="#0a121c" strokeweight="2pt">
                <v:textbox>
                  <w:txbxContent>
                    <w:p w:rsidR="00960C9E" w:rsidP="00960C9E" w14:paraId="652E0123" w14:textId="3D8FC504">
                      <w:pPr>
                        <w:jc w:val="center"/>
                      </w:pPr>
                      <w:r>
                        <w:t>SC 1.3</w:t>
                      </w:r>
                    </w:p>
                    <w:p w:rsidR="00960C9E" w:rsidP="00960C9E" w14:paraId="000EAD15" w14:textId="72FA76E0">
                      <w:pPr>
                        <w:jc w:val="center"/>
                      </w:pPr>
                      <w:r>
                        <w:t>SE/OLPZ</w:t>
                      </w:r>
                    </w:p>
                  </w:txbxContent>
                </v:textbox>
              </v:roundrect>
            </w:pict>
          </mc:Fallback>
        </mc:AlternateContent>
      </w:r>
    </w:p>
    <w:p w:rsidR="00960C9E" w:rsidRPr="00923D98" w:rsidP="004D338D" w14:paraId="54AC3524" w14:textId="77777777">
      <w:pPr>
        <w:rPr>
          <w:rFonts w:asciiTheme="minorHAnsi" w:hAnsiTheme="minorHAnsi" w:cstheme="minorHAnsi"/>
          <w:color w:val="000000" w:themeColor="text1"/>
        </w:rPr>
      </w:pPr>
    </w:p>
    <w:p w:rsidR="00960C9E" w:rsidRPr="00923D98" w:rsidP="004D338D" w14:paraId="4FBCE7A5" w14:textId="77777777">
      <w:pPr>
        <w:rPr>
          <w:rFonts w:asciiTheme="minorHAnsi" w:hAnsiTheme="minorHAnsi" w:cstheme="minorHAnsi"/>
          <w:color w:val="000000" w:themeColor="text1"/>
        </w:rPr>
      </w:pPr>
    </w:p>
    <w:p w:rsidR="00960C9E" w:rsidRPr="00923D98" w:rsidP="004D338D" w14:paraId="786DFA15" w14:textId="77777777">
      <w:pPr>
        <w:rPr>
          <w:rFonts w:asciiTheme="minorHAnsi" w:hAnsiTheme="minorHAnsi" w:cstheme="minorHAnsi"/>
          <w:color w:val="000000" w:themeColor="text1"/>
        </w:rPr>
      </w:pPr>
    </w:p>
    <w:p w:rsidR="00960C9E" w:rsidRPr="00923D98" w:rsidP="004D338D" w14:paraId="18A4D876" w14:textId="77777777">
      <w:pPr>
        <w:rPr>
          <w:rFonts w:asciiTheme="minorHAnsi" w:hAnsiTheme="minorHAnsi" w:cstheme="minorHAnsi"/>
          <w:color w:val="000000" w:themeColor="text1"/>
        </w:rPr>
      </w:pPr>
    </w:p>
    <w:p w:rsidR="00F00988" w:rsidRPr="00923D98" w:rsidP="004D338D" w14:paraId="550C7ACE" w14:textId="32981180">
      <w:pPr>
        <w:autoSpaceDE w:val="0"/>
        <w:autoSpaceDN w:val="0"/>
        <w:adjustRightInd w:val="0"/>
        <w:rPr>
          <w:rFonts w:asciiTheme="minorHAnsi" w:hAnsiTheme="minorHAnsi" w:cstheme="minorHAnsi"/>
          <w:sz w:val="20"/>
          <w:szCs w:val="20"/>
        </w:rPr>
      </w:pPr>
      <w:r w:rsidRPr="00923D98">
        <w:rPr>
          <w:rFonts w:asciiTheme="minorHAnsi" w:hAnsiTheme="minorHAnsi" w:cstheme="minorHAnsi"/>
          <w:sz w:val="20"/>
          <w:szCs w:val="20"/>
        </w:rPr>
        <w:t>Zdroj: vlastní zpracování</w:t>
      </w:r>
    </w:p>
    <w:p w:rsidR="00692BAA" w:rsidRPr="00923D98" w:rsidP="00F00988" w14:paraId="5AD00F65" w14:textId="77777777">
      <w:pPr>
        <w:autoSpaceDE w:val="0"/>
        <w:autoSpaceDN w:val="0"/>
        <w:adjustRightInd w:val="0"/>
        <w:jc w:val="both"/>
        <w:rPr>
          <w:rFonts w:asciiTheme="minorHAnsi" w:hAnsiTheme="minorHAnsi" w:cstheme="minorHAnsi"/>
        </w:rPr>
      </w:pPr>
    </w:p>
    <w:p w:rsidR="00F00988" w:rsidRPr="00923D98" w:rsidP="00F00988" w14:paraId="59E34C69" w14:textId="34315A0C">
      <w:pPr>
        <w:autoSpaceDE w:val="0"/>
        <w:autoSpaceDN w:val="0"/>
        <w:adjustRightInd w:val="0"/>
        <w:jc w:val="both"/>
        <w:rPr>
          <w:rFonts w:asciiTheme="minorHAnsi" w:hAnsiTheme="minorHAnsi" w:cstheme="minorHAnsi"/>
          <w:sz w:val="20"/>
        </w:rPr>
      </w:pPr>
    </w:p>
    <w:p w:rsidR="000732A2" w:rsidRPr="00923D98" w:rsidP="000732A2" w14:paraId="34692688" w14:textId="4A014D2C">
      <w:pPr>
        <w:pStyle w:val="Heading1"/>
        <w:numPr>
          <w:ilvl w:val="0"/>
          <w:numId w:val="13"/>
        </w:numPr>
        <w:rPr>
          <w:rFonts w:cstheme="minorHAnsi"/>
        </w:rPr>
      </w:pPr>
      <w:bookmarkStart w:id="236" w:name="_Toc256000006"/>
      <w:r w:rsidRPr="00923D98">
        <w:rPr>
          <w:rFonts w:cstheme="minorHAnsi"/>
        </w:rPr>
        <w:t>Řízení rizik</w:t>
      </w:r>
      <w:bookmarkEnd w:id="236"/>
      <w:r w:rsidRPr="00923D98">
        <w:rPr>
          <w:rFonts w:cstheme="minorHAnsi"/>
        </w:rPr>
        <w:t xml:space="preserve"> </w:t>
      </w:r>
    </w:p>
    <w:p w:rsidR="000732A2" w:rsidRPr="00923D98" w:rsidP="00305124" w14:paraId="40F7EFB2" w14:textId="77777777">
      <w:pPr>
        <w:autoSpaceDE w:val="0"/>
        <w:autoSpaceDN w:val="0"/>
        <w:adjustRightInd w:val="0"/>
        <w:jc w:val="both"/>
        <w:rPr>
          <w:rFonts w:asciiTheme="minorHAnsi" w:hAnsiTheme="minorHAnsi" w:cstheme="minorHAnsi"/>
          <w:b/>
        </w:rPr>
      </w:pPr>
    </w:p>
    <w:p w:rsidR="00960C9E" w:rsidRPr="00923D98" w:rsidP="00960C9E" w14:paraId="29F0EF1F" w14:textId="77777777">
      <w:pPr>
        <w:jc w:val="both"/>
        <w:rPr>
          <w:rFonts w:asciiTheme="minorHAnsi" w:hAnsiTheme="minorHAnsi" w:cstheme="minorHAnsi"/>
        </w:rPr>
      </w:pPr>
      <w:r w:rsidRPr="00923D98">
        <w:rPr>
          <w:rFonts w:asciiTheme="minorHAnsi" w:hAnsiTheme="minorHAnsi" w:cstheme="minorHAnsi"/>
        </w:rPr>
        <w:t xml:space="preserve">Cílem řízení rizik je předcházet situacím, které by mohly ohrozit úspěšnou realizaci implementačního plánu. Řízení rizik spočívá v systematické identifikaci, měření, zvládání, monitorování a vykazování všech významných rizik jednotným a integrovaným způsobem tak, aby byly pokryty všechny rizikové oblasti. </w:t>
      </w:r>
    </w:p>
    <w:p w:rsidR="00960C9E" w:rsidRPr="00923D98" w:rsidP="00960C9E" w14:paraId="1B12431E" w14:textId="77777777">
      <w:pPr>
        <w:jc w:val="both"/>
        <w:rPr>
          <w:rFonts w:asciiTheme="minorHAnsi" w:hAnsiTheme="minorHAnsi" w:cstheme="minorHAnsi"/>
        </w:rPr>
      </w:pPr>
    </w:p>
    <w:p w:rsidR="00960C9E" w:rsidRPr="00923D98" w:rsidP="00960C9E" w14:paraId="26A59AFC" w14:textId="77777777">
      <w:pPr>
        <w:jc w:val="both"/>
        <w:rPr>
          <w:rFonts w:asciiTheme="minorHAnsi" w:hAnsiTheme="minorHAnsi" w:cstheme="minorHAnsi"/>
        </w:rPr>
      </w:pPr>
      <w:r w:rsidRPr="00923D98">
        <w:rPr>
          <w:rFonts w:asciiTheme="minorHAnsi" w:hAnsiTheme="minorHAnsi" w:cstheme="minorHAnsi"/>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960C9E" w:rsidRPr="00923D98" w:rsidP="00960C9E" w14:paraId="3A377B28" w14:textId="77777777">
      <w:pPr>
        <w:jc w:val="both"/>
        <w:rPr>
          <w:rFonts w:asciiTheme="minorHAnsi" w:hAnsiTheme="minorHAnsi" w:cstheme="minorHAnsi"/>
        </w:rPr>
      </w:pPr>
    </w:p>
    <w:p w:rsidR="00960C9E" w:rsidRPr="00923D98" w:rsidP="00960C9E" w14:paraId="7D7C7D8D" w14:textId="77777777">
      <w:pPr>
        <w:jc w:val="both"/>
        <w:rPr>
          <w:rFonts w:asciiTheme="minorHAnsi" w:hAnsiTheme="minorHAnsi" w:cstheme="minorHAnsi"/>
        </w:rPr>
      </w:pPr>
      <w:r w:rsidRPr="00923D98">
        <w:rPr>
          <w:rFonts w:asciiTheme="minorHAnsi" w:hAnsiTheme="minorHAnsi" w:cstheme="minorHAnsi"/>
        </w:rPr>
        <w:t xml:space="preserve">Implementace probíhá v neustále se měnícím prostředí, a tak je nutné Registr rizik průběžně aktualizovat, </w:t>
      </w:r>
      <w:r w:rsidRPr="00923D98">
        <w:rPr>
          <w:rFonts w:asciiTheme="minorHAnsi" w:hAnsiTheme="minorHAnsi" w:cstheme="minorHAnsi"/>
          <w:bCs/>
        </w:rPr>
        <w:t>a to minimálně jednou ročně jako součást Zprávy o průběhu realizace implementačního plánu.</w:t>
      </w:r>
      <w:r w:rsidRPr="00923D98">
        <w:rPr>
          <w:rFonts w:asciiTheme="minorHAnsi" w:hAnsiTheme="minorHAnsi" w:cstheme="minorHAnsi"/>
        </w:rPr>
        <w:t xml:space="preserve"> Součástí je i vyhodnocení plnění nápravných opatření přijatých v průběhu daného roku.  </w:t>
      </w:r>
    </w:p>
    <w:p w:rsidR="00960C9E" w:rsidRPr="00923D98" w:rsidP="00960C9E" w14:paraId="2BE98A20" w14:textId="77777777">
      <w:pPr>
        <w:jc w:val="both"/>
        <w:rPr>
          <w:rFonts w:asciiTheme="minorHAnsi" w:hAnsiTheme="minorHAnsi" w:cstheme="minorHAnsi"/>
        </w:rPr>
      </w:pPr>
    </w:p>
    <w:p w:rsidR="00960C9E" w:rsidRPr="00923D98" w:rsidP="00960C9E" w14:paraId="3964C9DD" w14:textId="77777777">
      <w:pPr>
        <w:jc w:val="both"/>
        <w:rPr>
          <w:rFonts w:asciiTheme="minorHAnsi" w:hAnsiTheme="minorHAnsi" w:cstheme="minorHAnsi"/>
        </w:rPr>
      </w:pPr>
      <w:r w:rsidRPr="00923D98">
        <w:rPr>
          <w:rFonts w:asciiTheme="minorHAnsi" w:hAnsiTheme="minorHAnsi" w:cstheme="minorHAnsi"/>
        </w:rPr>
        <w:t>Registr rizik je aktualizován garanty jednotlivých oblastí IP na základě informací z průběhu implementace IP v daném roce a projednán jako součást Zprávy o průběhu realizace implementačního plánu</w:t>
      </w:r>
      <w:r w:rsidRPr="00923D98">
        <w:rPr>
          <w:rFonts w:asciiTheme="minorHAnsi" w:hAnsiTheme="minorHAnsi" w:cstheme="minorHAnsi"/>
        </w:rPr>
        <w:t xml:space="preserve"> </w:t>
      </w:r>
      <w:r w:rsidRPr="00923D98">
        <w:rPr>
          <w:rFonts w:asciiTheme="minorHAnsi" w:hAnsiTheme="minorHAnsi" w:cstheme="minorHAnsi"/>
        </w:rPr>
        <w:t xml:space="preserve">Řídicím výborem Zdraví 2035. Ta je následně schvalována vedením MZD.  </w:t>
      </w:r>
    </w:p>
    <w:p w:rsidR="00960C9E" w:rsidRPr="00923D98" w:rsidP="00960C9E" w14:paraId="6AA0EDC3" w14:textId="77777777">
      <w:pPr>
        <w:jc w:val="both"/>
        <w:rPr>
          <w:rFonts w:asciiTheme="minorHAnsi" w:hAnsiTheme="minorHAnsi" w:cstheme="minorHAnsi"/>
        </w:rPr>
      </w:pPr>
    </w:p>
    <w:p w:rsidR="00960C9E" w:rsidRPr="00923D98" w:rsidP="00960C9E" w14:paraId="3ACE40CF" w14:textId="77777777">
      <w:pPr>
        <w:jc w:val="both"/>
        <w:rPr>
          <w:rFonts w:asciiTheme="minorHAnsi" w:hAnsiTheme="minorHAnsi" w:cstheme="minorHAnsi"/>
        </w:rPr>
      </w:pPr>
      <w:r w:rsidRPr="00923D98">
        <w:rPr>
          <w:rFonts w:asciiTheme="minorHAnsi" w:hAnsiTheme="minorHAnsi" w:cstheme="minorHAnsi"/>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sidRPr="00923D98">
        <w:rPr>
          <w:rFonts w:asciiTheme="minorHAnsi" w:hAnsiTheme="minorHAnsi" w:cstheme="minorHAnsi"/>
        </w:rPr>
        <w:br/>
        <w:t>se stupněm významnosti v rozmezí 16–25), je tento subjekt povinen informovat o něm gestora a garanty implementačního plánu</w:t>
      </w:r>
      <w:r w:rsidRPr="00923D98">
        <w:rPr>
          <w:rFonts w:asciiTheme="minorHAnsi" w:hAnsiTheme="minorHAnsi" w:cstheme="minorHAnsi"/>
          <w:i/>
        </w:rPr>
        <w:t xml:space="preserve">. </w:t>
      </w:r>
      <w:r w:rsidRPr="00923D98">
        <w:rPr>
          <w:rFonts w:asciiTheme="minorHAnsi" w:hAnsiTheme="minorHAnsi" w:cstheme="minorHAnsi"/>
        </w:rPr>
        <w:t xml:space="preserve">Gestor implementačního plánu je povinen stanovit k novému kritickému riziku nápravná opatření a informovat o nich vlastníky rizik. </w:t>
      </w:r>
    </w:p>
    <w:p w:rsidR="00960C9E" w:rsidRPr="00923D98" w:rsidP="00960C9E" w14:paraId="15991F6A" w14:textId="77777777">
      <w:pPr>
        <w:jc w:val="both"/>
        <w:rPr>
          <w:rFonts w:asciiTheme="minorHAnsi" w:hAnsiTheme="minorHAnsi" w:cstheme="minorHAnsi"/>
        </w:rPr>
      </w:pPr>
    </w:p>
    <w:p w:rsidR="00960C9E" w:rsidRPr="00923D98" w:rsidP="00960C9E" w14:paraId="2E56F3A9" w14:textId="77777777">
      <w:pPr>
        <w:jc w:val="both"/>
        <w:rPr>
          <w:rFonts w:asciiTheme="minorHAnsi" w:hAnsiTheme="minorHAnsi" w:cstheme="minorHAnsi"/>
        </w:rPr>
      </w:pPr>
      <w:r w:rsidRPr="00923D98">
        <w:rPr>
          <w:rFonts w:asciiTheme="minorHAnsi" w:hAnsiTheme="minorHAnsi" w:cstheme="minorHAnsi"/>
        </w:rPr>
        <w:t xml:space="preserve">Při přípravě implementačního plánu byla stanovena následující rizika, která mohou významně ovlivnit naplňování specifického cíle potažmo cílů dílčích.  </w:t>
      </w:r>
    </w:p>
    <w:p w:rsidR="00960C9E" w:rsidRPr="00923D98" w:rsidP="00960C9E" w14:paraId="58CE5F2D" w14:textId="77777777">
      <w:pPr>
        <w:autoSpaceDE w:val="0"/>
        <w:autoSpaceDN w:val="0"/>
        <w:adjustRightInd w:val="0"/>
        <w:jc w:val="both"/>
        <w:rPr>
          <w:rFonts w:asciiTheme="minorHAnsi" w:hAnsiTheme="minorHAnsi" w:cstheme="minorHAnsi"/>
        </w:rPr>
      </w:pPr>
    </w:p>
    <w:p w:rsidR="00BA76A7" w:rsidRPr="00923D98" w:rsidP="003325EC" w14:paraId="2FBD391C" w14:textId="77777777">
      <w:pPr>
        <w:rPr>
          <w:rFonts w:asciiTheme="minorHAnsi" w:hAnsiTheme="minorHAnsi" w:cstheme="minorHAnsi"/>
        </w:rPr>
      </w:pPr>
      <w:r w:rsidRPr="00923D98">
        <w:rPr>
          <w:rFonts w:asciiTheme="minorHAnsi" w:hAnsiTheme="minorHAnsi" w:cstheme="minorHAnsi"/>
        </w:rPr>
        <w:br w:type="page"/>
      </w:r>
    </w:p>
    <w:p w:rsidR="00805447" w:rsidRPr="00923D98" w:rsidP="00AE6273" w14:paraId="290D170C" w14:textId="368C3B83">
      <w:pPr>
        <w:pStyle w:val="Caption"/>
        <w:spacing w:before="120" w:after="0"/>
        <w:rPr>
          <w:rFonts w:asciiTheme="minorHAnsi" w:hAnsiTheme="minorHAnsi" w:cstheme="minorHAnsi"/>
        </w:rPr>
      </w:pPr>
      <w:bookmarkStart w:id="237" w:name="_Toc256000015"/>
      <w:r w:rsidRPr="00923D98">
        <w:rPr>
          <w:rFonts w:asciiTheme="minorHAnsi" w:hAnsiTheme="minorHAnsi" w:cstheme="minorHAnsi"/>
        </w:rPr>
        <w:t xml:space="preserve">Tabulka </w:t>
      </w:r>
      <w:r w:rsidRPr="00923D98">
        <w:rPr>
          <w:rFonts w:asciiTheme="minorHAnsi" w:hAnsiTheme="minorHAnsi" w:cstheme="minorHAnsi"/>
        </w:rPr>
        <w:fldChar w:fldCharType="begin"/>
      </w:r>
      <w:r w:rsidRPr="00923D98">
        <w:rPr>
          <w:rFonts w:asciiTheme="minorHAnsi" w:hAnsiTheme="minorHAnsi" w:cstheme="minorHAnsi"/>
        </w:rPr>
        <w:instrText xml:space="preserve"> SEQ Tabulka \* ARABIC </w:instrText>
      </w:r>
      <w:r w:rsidRPr="00923D98">
        <w:rPr>
          <w:rFonts w:asciiTheme="minorHAnsi" w:hAnsiTheme="minorHAnsi" w:cstheme="minorHAnsi"/>
        </w:rPr>
        <w:fldChar w:fldCharType="separate"/>
      </w:r>
      <w:r w:rsidRPr="00923D98">
        <w:rPr>
          <w:rFonts w:asciiTheme="minorHAnsi" w:hAnsiTheme="minorHAnsi" w:cstheme="minorHAnsi"/>
        </w:rPr>
        <w:t>4</w:t>
      </w:r>
      <w:r w:rsidRPr="00923D98">
        <w:rPr>
          <w:rFonts w:asciiTheme="minorHAnsi" w:hAnsiTheme="minorHAnsi" w:cstheme="minorHAnsi"/>
        </w:rPr>
        <w:fldChar w:fldCharType="end"/>
      </w:r>
      <w:r w:rsidRPr="00923D98">
        <w:rPr>
          <w:rFonts w:asciiTheme="minorHAnsi" w:hAnsiTheme="minorHAnsi" w:cstheme="minorHAnsi"/>
        </w:rPr>
        <w:t xml:space="preserve"> Registr rizik ke dni schválení IP</w:t>
      </w:r>
      <w:bookmarkEnd w:id="2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28"/>
        <w:gridCol w:w="1429"/>
        <w:gridCol w:w="904"/>
        <w:gridCol w:w="1486"/>
        <w:gridCol w:w="1325"/>
        <w:gridCol w:w="1440"/>
        <w:gridCol w:w="1050"/>
      </w:tblGrid>
      <w:tr w14:paraId="09EE4746" w14:textId="77777777" w:rsidTr="00882EC6">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528"/>
        </w:trPr>
        <w:tc>
          <w:tcPr>
            <w:tcW w:w="788" w:type="pct"/>
          </w:tcPr>
          <w:p w:rsidR="00805447" w:rsidRPr="00923D98" w:rsidP="00214782" w14:paraId="7639E446" w14:textId="77777777">
            <w:pPr>
              <w:autoSpaceDE w:val="0"/>
              <w:autoSpaceDN w:val="0"/>
              <w:adjustRightInd w:val="0"/>
              <w:rPr>
                <w:rFonts w:asciiTheme="minorHAnsi" w:hAnsiTheme="minorHAnsi" w:cstheme="minorHAnsi"/>
                <w:b/>
                <w:bCs/>
                <w:color w:val="000000" w:themeColor="text1"/>
                <w:sz w:val="22"/>
                <w:szCs w:val="22"/>
              </w:rPr>
            </w:pPr>
            <w:r w:rsidRPr="00923D98">
              <w:rPr>
                <w:rFonts w:asciiTheme="minorHAnsi" w:hAnsiTheme="minorHAnsi" w:cstheme="minorHAnsi"/>
                <w:b/>
                <w:bCs/>
                <w:color w:val="000000" w:themeColor="text1"/>
                <w:sz w:val="22"/>
                <w:szCs w:val="22"/>
              </w:rPr>
              <w:t>Název rizika</w:t>
            </w:r>
          </w:p>
        </w:tc>
        <w:tc>
          <w:tcPr>
            <w:tcW w:w="788" w:type="pct"/>
          </w:tcPr>
          <w:p w:rsidR="00805447" w:rsidRPr="00923D98" w:rsidP="00214782" w14:paraId="25F7451F" w14:textId="77777777">
            <w:pPr>
              <w:autoSpaceDE w:val="0"/>
              <w:autoSpaceDN w:val="0"/>
              <w:adjustRightInd w:val="0"/>
              <w:rPr>
                <w:rFonts w:asciiTheme="minorHAnsi" w:hAnsiTheme="minorHAnsi" w:cstheme="minorHAnsi"/>
                <w:b/>
                <w:bCs/>
                <w:color w:val="000000" w:themeColor="text1"/>
                <w:sz w:val="22"/>
                <w:szCs w:val="22"/>
              </w:rPr>
            </w:pPr>
            <w:r w:rsidRPr="00923D98">
              <w:rPr>
                <w:rFonts w:asciiTheme="minorHAnsi" w:hAnsiTheme="minorHAnsi" w:cstheme="minorHAnsi"/>
                <w:b/>
                <w:bCs/>
                <w:color w:val="000000" w:themeColor="text1"/>
                <w:sz w:val="22"/>
                <w:szCs w:val="22"/>
              </w:rPr>
              <w:t>Popis rizika</w:t>
            </w:r>
          </w:p>
        </w:tc>
        <w:tc>
          <w:tcPr>
            <w:tcW w:w="499" w:type="pct"/>
          </w:tcPr>
          <w:p w:rsidR="00805447" w:rsidRPr="00923D98" w:rsidP="00214782" w14:paraId="1A237B20" w14:textId="77777777">
            <w:pPr>
              <w:autoSpaceDE w:val="0"/>
              <w:autoSpaceDN w:val="0"/>
              <w:adjustRightInd w:val="0"/>
              <w:rPr>
                <w:rFonts w:asciiTheme="minorHAnsi" w:hAnsiTheme="minorHAnsi" w:cstheme="minorHAnsi"/>
                <w:b/>
                <w:bCs/>
                <w:color w:val="000000" w:themeColor="text1"/>
                <w:sz w:val="22"/>
                <w:szCs w:val="22"/>
              </w:rPr>
            </w:pPr>
            <w:r w:rsidRPr="00923D98">
              <w:rPr>
                <w:rFonts w:asciiTheme="minorHAnsi" w:hAnsiTheme="minorHAnsi" w:cstheme="minorHAnsi"/>
                <w:b/>
                <w:bCs/>
                <w:color w:val="000000" w:themeColor="text1"/>
                <w:sz w:val="22"/>
                <w:szCs w:val="22"/>
              </w:rPr>
              <w:t>Dopad rizika</w:t>
            </w:r>
            <w:r>
              <w:rPr>
                <w:rStyle w:val="FootnoteReference"/>
                <w:rFonts w:asciiTheme="minorHAnsi" w:hAnsiTheme="minorHAnsi" w:cstheme="minorHAnsi"/>
                <w:b/>
                <w:bCs/>
                <w:color w:val="000000" w:themeColor="text1"/>
                <w:sz w:val="22"/>
                <w:szCs w:val="22"/>
              </w:rPr>
              <w:footnoteReference w:id="10"/>
            </w:r>
          </w:p>
        </w:tc>
        <w:tc>
          <w:tcPr>
            <w:tcW w:w="820" w:type="pct"/>
          </w:tcPr>
          <w:p w:rsidR="00805447" w:rsidRPr="00923D98" w:rsidP="00214782" w14:paraId="5E372B54" w14:textId="77777777">
            <w:pPr>
              <w:autoSpaceDE w:val="0"/>
              <w:autoSpaceDN w:val="0"/>
              <w:adjustRightInd w:val="0"/>
              <w:rPr>
                <w:rFonts w:asciiTheme="minorHAnsi" w:hAnsiTheme="minorHAnsi" w:cstheme="minorHAnsi"/>
                <w:b/>
                <w:bCs/>
                <w:color w:val="000000" w:themeColor="text1"/>
                <w:sz w:val="22"/>
                <w:szCs w:val="22"/>
              </w:rPr>
            </w:pPr>
            <w:r w:rsidRPr="00923D98">
              <w:rPr>
                <w:rFonts w:asciiTheme="minorHAnsi" w:hAnsiTheme="minorHAnsi" w:cstheme="minorHAnsi"/>
                <w:b/>
                <w:bCs/>
                <w:color w:val="000000" w:themeColor="text1"/>
                <w:sz w:val="22"/>
                <w:szCs w:val="22"/>
              </w:rPr>
              <w:t>Pravděpodobnost výskytu rizika</w:t>
            </w:r>
            <w:r>
              <w:rPr>
                <w:rStyle w:val="FootnoteReference"/>
                <w:rFonts w:asciiTheme="minorHAnsi" w:hAnsiTheme="minorHAnsi" w:cstheme="minorHAnsi"/>
                <w:b/>
                <w:bCs/>
                <w:color w:val="000000" w:themeColor="text1"/>
                <w:sz w:val="22"/>
                <w:szCs w:val="22"/>
              </w:rPr>
              <w:footnoteReference w:id="11"/>
            </w:r>
          </w:p>
        </w:tc>
        <w:tc>
          <w:tcPr>
            <w:tcW w:w="731" w:type="pct"/>
          </w:tcPr>
          <w:p w:rsidR="00805447" w:rsidRPr="00923D98" w:rsidP="00214782" w14:paraId="058611E8" w14:textId="77777777">
            <w:pPr>
              <w:autoSpaceDE w:val="0"/>
              <w:autoSpaceDN w:val="0"/>
              <w:adjustRightInd w:val="0"/>
              <w:rPr>
                <w:rFonts w:asciiTheme="minorHAnsi" w:hAnsiTheme="minorHAnsi" w:cstheme="minorHAnsi"/>
                <w:b/>
                <w:bCs/>
                <w:color w:val="000000" w:themeColor="text1"/>
                <w:sz w:val="22"/>
                <w:szCs w:val="22"/>
              </w:rPr>
            </w:pPr>
            <w:r w:rsidRPr="00923D98">
              <w:rPr>
                <w:rFonts w:asciiTheme="minorHAnsi" w:hAnsiTheme="minorHAnsi" w:cstheme="minorHAnsi"/>
                <w:b/>
                <w:bCs/>
                <w:color w:val="000000" w:themeColor="text1"/>
                <w:sz w:val="22"/>
                <w:szCs w:val="22"/>
              </w:rPr>
              <w:t>Významnost rizika</w:t>
            </w:r>
            <w:r>
              <w:rPr>
                <w:rStyle w:val="FootnoteReference"/>
                <w:rFonts w:asciiTheme="minorHAnsi" w:hAnsiTheme="minorHAnsi" w:cstheme="minorHAnsi"/>
                <w:b/>
                <w:bCs/>
                <w:color w:val="000000" w:themeColor="text1"/>
                <w:sz w:val="22"/>
                <w:szCs w:val="22"/>
              </w:rPr>
              <w:footnoteReference w:id="12"/>
            </w:r>
          </w:p>
        </w:tc>
        <w:tc>
          <w:tcPr>
            <w:tcW w:w="795" w:type="pct"/>
          </w:tcPr>
          <w:p w:rsidR="00805447" w:rsidRPr="00923D98" w:rsidP="00214782" w14:paraId="0369A356" w14:textId="77777777">
            <w:pPr>
              <w:autoSpaceDE w:val="0"/>
              <w:autoSpaceDN w:val="0"/>
              <w:adjustRightInd w:val="0"/>
              <w:rPr>
                <w:rFonts w:asciiTheme="minorHAnsi" w:hAnsiTheme="minorHAnsi" w:cstheme="minorHAnsi"/>
                <w:b/>
                <w:bCs/>
                <w:color w:val="000000" w:themeColor="text1"/>
                <w:sz w:val="22"/>
                <w:szCs w:val="22"/>
              </w:rPr>
            </w:pPr>
            <w:r w:rsidRPr="00923D98">
              <w:rPr>
                <w:rFonts w:asciiTheme="minorHAnsi" w:hAnsiTheme="minorHAnsi" w:cstheme="minorHAnsi"/>
                <w:b/>
                <w:bCs/>
                <w:color w:val="000000" w:themeColor="text1"/>
                <w:sz w:val="22"/>
                <w:szCs w:val="22"/>
              </w:rPr>
              <w:t>Opatření vedoucí ke snížení rizika</w:t>
            </w:r>
          </w:p>
        </w:tc>
        <w:tc>
          <w:tcPr>
            <w:tcW w:w="579" w:type="pct"/>
          </w:tcPr>
          <w:p w:rsidR="00805447" w:rsidRPr="00923D98" w:rsidP="00214782" w14:paraId="06ABDA9C" w14:textId="77777777">
            <w:pPr>
              <w:rPr>
                <w:rFonts w:asciiTheme="minorHAnsi" w:hAnsiTheme="minorHAnsi" w:cstheme="minorHAnsi"/>
                <w:b/>
                <w:bCs/>
                <w:color w:val="000000" w:themeColor="text1"/>
                <w:sz w:val="22"/>
                <w:szCs w:val="22"/>
              </w:rPr>
            </w:pPr>
            <w:r w:rsidRPr="00923D98">
              <w:rPr>
                <w:rFonts w:asciiTheme="minorHAnsi" w:hAnsiTheme="minorHAnsi" w:cstheme="minorHAnsi"/>
                <w:b/>
                <w:bCs/>
                <w:color w:val="000000" w:themeColor="text1"/>
                <w:sz w:val="22"/>
                <w:szCs w:val="22"/>
              </w:rPr>
              <w:t xml:space="preserve">Vlastník nápravného opatření </w:t>
            </w:r>
          </w:p>
        </w:tc>
      </w:tr>
      <w:tr w14:paraId="7A1182A1" w14:textId="77777777" w:rsidTr="00882EC6">
        <w:tblPrEx>
          <w:tblW w:w="5000" w:type="pct"/>
          <w:tblCellMar>
            <w:left w:w="70" w:type="dxa"/>
            <w:right w:w="70" w:type="dxa"/>
          </w:tblCellMar>
          <w:tblLook w:val="0000"/>
        </w:tblPrEx>
        <w:trPr>
          <w:trHeight w:val="1225"/>
        </w:trPr>
        <w:tc>
          <w:tcPr>
            <w:tcW w:w="788" w:type="pct"/>
          </w:tcPr>
          <w:p w:rsidR="00805447" w:rsidRPr="00923D98" w:rsidP="00214782" w14:paraId="15310F8A" w14:textId="77777777">
            <w:pPr>
              <w:rPr>
                <w:rFonts w:asciiTheme="minorHAnsi" w:hAnsiTheme="minorHAnsi" w:cstheme="minorHAnsi"/>
                <w:bCs/>
                <w:color w:val="000000" w:themeColor="text1"/>
                <w:sz w:val="22"/>
                <w:szCs w:val="22"/>
              </w:rPr>
            </w:pPr>
            <w:r w:rsidRPr="00923D98">
              <w:rPr>
                <w:rFonts w:asciiTheme="minorHAnsi" w:hAnsiTheme="minorHAnsi" w:cstheme="minorHAnsi"/>
                <w:color w:val="000000" w:themeColor="text1"/>
                <w:sz w:val="22"/>
                <w:szCs w:val="22"/>
              </w:rPr>
              <w:t>Neochota klíčových partnerů spolupracovat na realizaci opatření</w:t>
            </w:r>
          </w:p>
        </w:tc>
        <w:tc>
          <w:tcPr>
            <w:tcW w:w="788" w:type="pct"/>
          </w:tcPr>
          <w:p w:rsidR="00805447" w:rsidRPr="00923D98" w:rsidP="00214782" w14:paraId="162DE313" w14:textId="1DDF87A6">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Riziko plynoucí ze spolupráce klíčových zainteresovaných stran</w:t>
            </w:r>
            <w:r w:rsidRPr="00923D98" w:rsidR="00FC4127">
              <w:rPr>
                <w:rFonts w:asciiTheme="minorHAnsi" w:hAnsiTheme="minorHAnsi" w:cstheme="minorHAnsi"/>
                <w:color w:val="000000" w:themeColor="text1"/>
                <w:sz w:val="22"/>
                <w:szCs w:val="22"/>
              </w:rPr>
              <w:t xml:space="preserve">, zejména v oblasti </w:t>
            </w:r>
            <w:r w:rsidRPr="00923D98" w:rsidR="001604A8">
              <w:rPr>
                <w:rFonts w:asciiTheme="minorHAnsi" w:hAnsiTheme="minorHAnsi" w:cstheme="minorHAnsi"/>
                <w:color w:val="000000" w:themeColor="text1"/>
                <w:sz w:val="22"/>
                <w:szCs w:val="22"/>
              </w:rPr>
              <w:t>meziresortní spolupráce</w:t>
            </w:r>
          </w:p>
        </w:tc>
        <w:tc>
          <w:tcPr>
            <w:tcW w:w="499" w:type="pct"/>
          </w:tcPr>
          <w:p w:rsidR="00805447" w:rsidRPr="00923D98" w:rsidP="00214782" w14:paraId="796CFD61"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Významný</w:t>
            </w:r>
          </w:p>
          <w:p w:rsidR="00805447" w:rsidRPr="00923D98" w:rsidP="00214782" w14:paraId="65417C41" w14:textId="77777777">
            <w:pPr>
              <w:autoSpaceDE w:val="0"/>
              <w:autoSpaceDN w:val="0"/>
              <w:adjustRightInd w:val="0"/>
              <w:rPr>
                <w:rFonts w:asciiTheme="minorHAnsi" w:hAnsiTheme="minorHAnsi" w:cstheme="minorHAnsi"/>
                <w:color w:val="000000" w:themeColor="text1"/>
                <w:sz w:val="22"/>
                <w:szCs w:val="22"/>
              </w:rPr>
            </w:pPr>
          </w:p>
          <w:p w:rsidR="00805447" w:rsidRPr="00923D98" w:rsidP="00214782" w14:paraId="1C48B9EF"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3,0</w:t>
            </w:r>
          </w:p>
        </w:tc>
        <w:tc>
          <w:tcPr>
            <w:tcW w:w="820" w:type="pct"/>
          </w:tcPr>
          <w:p w:rsidR="00805447" w:rsidRPr="00923D98" w:rsidP="00214782" w14:paraId="2D11C404"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Běžně možná</w:t>
            </w:r>
          </w:p>
          <w:p w:rsidR="00805447" w:rsidRPr="00923D98" w:rsidP="00214782" w14:paraId="1D999E27" w14:textId="77777777">
            <w:pPr>
              <w:autoSpaceDE w:val="0"/>
              <w:autoSpaceDN w:val="0"/>
              <w:adjustRightInd w:val="0"/>
              <w:rPr>
                <w:rFonts w:asciiTheme="minorHAnsi" w:hAnsiTheme="minorHAnsi" w:cstheme="minorHAnsi"/>
                <w:color w:val="000000" w:themeColor="text1"/>
                <w:sz w:val="22"/>
                <w:szCs w:val="22"/>
              </w:rPr>
            </w:pPr>
          </w:p>
          <w:p w:rsidR="00805447" w:rsidRPr="00923D98" w:rsidP="00214782" w14:paraId="295509B3"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 3,0</w:t>
            </w:r>
          </w:p>
        </w:tc>
        <w:tc>
          <w:tcPr>
            <w:tcW w:w="731" w:type="pct"/>
          </w:tcPr>
          <w:p w:rsidR="00805447" w:rsidRPr="00923D98" w:rsidP="00214782" w14:paraId="3E61CF1A"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Závažná</w:t>
            </w:r>
          </w:p>
          <w:p w:rsidR="00805447" w:rsidRPr="00923D98" w:rsidP="00214782" w14:paraId="4952DF54"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w:t>
            </w:r>
          </w:p>
          <w:p w:rsidR="00805447" w:rsidRPr="00923D98" w:rsidP="00214782" w14:paraId="0B4E6CEA"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Střední</w:t>
            </w:r>
          </w:p>
          <w:p w:rsidR="00805447" w:rsidRPr="00923D98" w:rsidP="00214782" w14:paraId="5AB506DA" w14:textId="77777777">
            <w:pPr>
              <w:autoSpaceDE w:val="0"/>
              <w:autoSpaceDN w:val="0"/>
              <w:adjustRightInd w:val="0"/>
              <w:rPr>
                <w:rFonts w:asciiTheme="minorHAnsi" w:hAnsiTheme="minorHAnsi" w:cstheme="minorHAnsi"/>
                <w:color w:val="000000" w:themeColor="text1"/>
                <w:sz w:val="22"/>
                <w:szCs w:val="22"/>
              </w:rPr>
            </w:pPr>
          </w:p>
          <w:p w:rsidR="00805447" w:rsidRPr="00923D98" w:rsidP="00214782" w14:paraId="6DD4BBB9"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9,0</w:t>
            </w:r>
          </w:p>
        </w:tc>
        <w:tc>
          <w:tcPr>
            <w:tcW w:w="795" w:type="pct"/>
          </w:tcPr>
          <w:p w:rsidR="00805447" w:rsidRPr="00923D98" w:rsidP="00214782" w14:paraId="1532A2F1"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Nastavení komunikace, zainteresování na tvorbě implementačního plánu, pravidelná jednání, analýza dílčích problémů a krizové řízení </w:t>
            </w:r>
          </w:p>
          <w:p w:rsidR="00805447" w:rsidRPr="00923D98" w:rsidP="00214782" w14:paraId="52A1BF68"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Kvalit</w:t>
            </w:r>
            <w:r w:rsidRPr="00923D98" w:rsidR="00542249">
              <w:rPr>
                <w:rFonts w:asciiTheme="minorHAnsi" w:hAnsiTheme="minorHAnsi" w:cstheme="minorHAnsi"/>
                <w:color w:val="000000" w:themeColor="text1"/>
                <w:sz w:val="22"/>
                <w:szCs w:val="22"/>
              </w:rPr>
              <w:t>n</w:t>
            </w:r>
            <w:r w:rsidRPr="00923D98">
              <w:rPr>
                <w:rFonts w:asciiTheme="minorHAnsi" w:hAnsiTheme="minorHAnsi" w:cstheme="minorHAnsi"/>
                <w:color w:val="000000" w:themeColor="text1"/>
                <w:sz w:val="22"/>
                <w:szCs w:val="22"/>
              </w:rPr>
              <w:t xml:space="preserve">í nastavení řízení </w:t>
            </w:r>
            <w:r w:rsidRPr="00923D98" w:rsidR="0059764C">
              <w:rPr>
                <w:rFonts w:asciiTheme="minorHAnsi" w:hAnsiTheme="minorHAnsi" w:cstheme="minorHAnsi"/>
                <w:color w:val="000000" w:themeColor="text1"/>
                <w:sz w:val="22"/>
                <w:szCs w:val="22"/>
              </w:rPr>
              <w:br/>
            </w:r>
            <w:r w:rsidRPr="00923D98">
              <w:rPr>
                <w:rFonts w:asciiTheme="minorHAnsi" w:hAnsiTheme="minorHAnsi" w:cstheme="minorHAnsi"/>
                <w:color w:val="000000" w:themeColor="text1"/>
                <w:sz w:val="22"/>
                <w:szCs w:val="22"/>
              </w:rPr>
              <w:t>a komunikace se zdravotnickými zařízeními</w:t>
            </w:r>
          </w:p>
        </w:tc>
        <w:tc>
          <w:tcPr>
            <w:tcW w:w="579" w:type="pct"/>
          </w:tcPr>
          <w:p w:rsidR="00805447" w:rsidRPr="00923D98" w:rsidP="00214782" w14:paraId="2238DA0A" w14:textId="2363A620">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Garant a gestoři IP 1.</w:t>
            </w:r>
            <w:r w:rsidRPr="00923D98" w:rsidR="001604A8">
              <w:rPr>
                <w:rFonts w:asciiTheme="minorHAnsi" w:hAnsiTheme="minorHAnsi" w:cstheme="minorHAnsi"/>
                <w:color w:val="000000" w:themeColor="text1"/>
                <w:sz w:val="22"/>
                <w:szCs w:val="22"/>
              </w:rPr>
              <w:t>3</w:t>
            </w:r>
          </w:p>
        </w:tc>
      </w:tr>
      <w:tr w14:paraId="41400BCF" w14:textId="77777777" w:rsidTr="00882EC6">
        <w:tblPrEx>
          <w:tblW w:w="5000" w:type="pct"/>
          <w:tblCellMar>
            <w:left w:w="70" w:type="dxa"/>
            <w:right w:w="70" w:type="dxa"/>
          </w:tblCellMar>
          <w:tblLook w:val="0000"/>
        </w:tblPrEx>
        <w:trPr>
          <w:trHeight w:val="1225"/>
        </w:trPr>
        <w:tc>
          <w:tcPr>
            <w:tcW w:w="788" w:type="pct"/>
          </w:tcPr>
          <w:p w:rsidR="00FC4127" w:rsidRPr="00923D98" w:rsidP="00214782" w14:paraId="0CCD41E5"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Problematický konsensus zainteresovaných odborníků a stran</w:t>
            </w:r>
          </w:p>
        </w:tc>
        <w:tc>
          <w:tcPr>
            <w:tcW w:w="788" w:type="pct"/>
          </w:tcPr>
          <w:p w:rsidR="00FC4127" w:rsidRPr="00923D98" w:rsidP="00214782" w14:paraId="396594C8" w14:textId="5D3A4960">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Zejména stran vzniku </w:t>
            </w:r>
            <w:r w:rsidRPr="00923D98" w:rsidR="001604A8">
              <w:rPr>
                <w:rFonts w:asciiTheme="minorHAnsi" w:hAnsiTheme="minorHAnsi" w:cstheme="minorHAnsi"/>
                <w:color w:val="000000" w:themeColor="text1"/>
                <w:sz w:val="22"/>
                <w:szCs w:val="22"/>
              </w:rPr>
              <w:t xml:space="preserve">legislativních a jiných návrhů směřujících k naplnění plánu  </w:t>
            </w:r>
          </w:p>
        </w:tc>
        <w:tc>
          <w:tcPr>
            <w:tcW w:w="499" w:type="pct"/>
          </w:tcPr>
          <w:p w:rsidR="00FC4127" w:rsidRPr="00923D98" w:rsidP="00214782" w14:paraId="0909850A" w14:textId="201DDA25">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Velmi v</w:t>
            </w:r>
            <w:r w:rsidRPr="00923D98">
              <w:rPr>
                <w:rFonts w:asciiTheme="minorHAnsi" w:hAnsiTheme="minorHAnsi" w:cstheme="minorHAnsi"/>
                <w:color w:val="000000" w:themeColor="text1"/>
                <w:sz w:val="22"/>
                <w:szCs w:val="22"/>
              </w:rPr>
              <w:t>ýznamný</w:t>
            </w:r>
          </w:p>
          <w:p w:rsidR="00FC4127" w:rsidRPr="00923D98" w:rsidP="00214782" w14:paraId="4D4195F1" w14:textId="344670FE">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3,5</w:t>
            </w:r>
          </w:p>
        </w:tc>
        <w:tc>
          <w:tcPr>
            <w:tcW w:w="820" w:type="pct"/>
          </w:tcPr>
          <w:p w:rsidR="00FC4127" w:rsidRPr="00923D98" w:rsidP="00214782" w14:paraId="68221910" w14:textId="0D6998EB">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Pravděpodobná</w:t>
            </w:r>
            <w:r w:rsidRPr="00923D98">
              <w:rPr>
                <w:rFonts w:asciiTheme="minorHAnsi" w:hAnsiTheme="minorHAnsi" w:cstheme="minorHAnsi"/>
                <w:color w:val="000000" w:themeColor="text1"/>
                <w:sz w:val="22"/>
                <w:szCs w:val="22"/>
              </w:rPr>
              <w:t xml:space="preserve"> </w:t>
            </w:r>
          </w:p>
          <w:p w:rsidR="00FC4127" w:rsidRPr="00923D98" w:rsidP="00214782" w14:paraId="7F2864D5" w14:textId="271C1E4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4,0</w:t>
            </w:r>
          </w:p>
        </w:tc>
        <w:tc>
          <w:tcPr>
            <w:tcW w:w="731" w:type="pct"/>
          </w:tcPr>
          <w:p w:rsidR="00FC4127" w:rsidRPr="00923D98" w:rsidP="00214782" w14:paraId="4BB14068" w14:textId="7CC25864">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Závažná/střední</w:t>
            </w:r>
          </w:p>
          <w:p w:rsidR="00FC4127" w:rsidRPr="00923D98" w:rsidP="00214782" w14:paraId="6A00A787" w14:textId="46C5E2EC">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14</w:t>
            </w:r>
          </w:p>
        </w:tc>
        <w:tc>
          <w:tcPr>
            <w:tcW w:w="795" w:type="pct"/>
          </w:tcPr>
          <w:p w:rsidR="00FC4127" w:rsidRPr="00923D98" w:rsidP="00214782" w14:paraId="3627C667" w14:textId="0D23E1A4">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dtto</w:t>
            </w:r>
          </w:p>
        </w:tc>
        <w:tc>
          <w:tcPr>
            <w:tcW w:w="579" w:type="pct"/>
          </w:tcPr>
          <w:p w:rsidR="00FC4127" w:rsidRPr="00923D98" w:rsidP="00214782" w14:paraId="2EF32786" w14:textId="309F5579">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Garant a gestoři IP 1.</w:t>
            </w:r>
            <w:r w:rsidRPr="00923D98" w:rsidR="001604A8">
              <w:rPr>
                <w:rFonts w:asciiTheme="minorHAnsi" w:hAnsiTheme="minorHAnsi" w:cstheme="minorHAnsi"/>
                <w:color w:val="000000" w:themeColor="text1"/>
                <w:sz w:val="22"/>
                <w:szCs w:val="22"/>
              </w:rPr>
              <w:t>3</w:t>
            </w:r>
          </w:p>
        </w:tc>
      </w:tr>
      <w:tr w14:paraId="22D25731" w14:textId="77777777" w:rsidTr="00882EC6">
        <w:tblPrEx>
          <w:tblW w:w="5000" w:type="pct"/>
          <w:tblCellMar>
            <w:left w:w="70" w:type="dxa"/>
            <w:right w:w="70" w:type="dxa"/>
          </w:tblCellMar>
          <w:tblLook w:val="0000"/>
        </w:tblPrEx>
        <w:trPr>
          <w:trHeight w:val="1225"/>
        </w:trPr>
        <w:tc>
          <w:tcPr>
            <w:tcW w:w="788" w:type="pct"/>
          </w:tcPr>
          <w:p w:rsidR="00FC4127" w:rsidRPr="00923D98" w:rsidP="00214782" w14:paraId="5111CCA7" w14:textId="77777777">
            <w:pPr>
              <w:rPr>
                <w:rFonts w:asciiTheme="minorHAnsi" w:hAnsiTheme="minorHAnsi" w:cstheme="minorHAnsi"/>
                <w:color w:val="000000" w:themeColor="text1"/>
                <w:sz w:val="22"/>
                <w:szCs w:val="22"/>
              </w:rPr>
            </w:pPr>
            <w:r w:rsidRPr="00923D98">
              <w:rPr>
                <w:rFonts w:asciiTheme="minorHAnsi" w:hAnsiTheme="minorHAnsi" w:cstheme="minorHAnsi"/>
                <w:bCs/>
                <w:color w:val="000000" w:themeColor="text1"/>
                <w:sz w:val="22"/>
                <w:szCs w:val="22"/>
              </w:rPr>
              <w:t>Problémy legislativního charakteru</w:t>
            </w:r>
          </w:p>
        </w:tc>
        <w:tc>
          <w:tcPr>
            <w:tcW w:w="788" w:type="pct"/>
          </w:tcPr>
          <w:p w:rsidR="00FC4127" w:rsidRPr="00923D98" w:rsidP="00214782" w14:paraId="32E5154F" w14:textId="441FA29B">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Zpoždění či zastavení legislativního procesu z politických důvodů</w:t>
            </w:r>
          </w:p>
        </w:tc>
        <w:tc>
          <w:tcPr>
            <w:tcW w:w="499" w:type="pct"/>
          </w:tcPr>
          <w:p w:rsidR="00FC4127" w:rsidRPr="00923D98" w:rsidP="00214782" w14:paraId="196F4E18"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Významný</w:t>
            </w:r>
          </w:p>
          <w:p w:rsidR="00FC4127" w:rsidRPr="00923D98" w:rsidP="00214782" w14:paraId="5E13B2C1" w14:textId="77777777">
            <w:pPr>
              <w:autoSpaceDE w:val="0"/>
              <w:autoSpaceDN w:val="0"/>
              <w:adjustRightInd w:val="0"/>
              <w:rPr>
                <w:rFonts w:asciiTheme="minorHAnsi" w:hAnsiTheme="minorHAnsi" w:cstheme="minorHAnsi"/>
                <w:color w:val="000000" w:themeColor="text1"/>
                <w:sz w:val="22"/>
                <w:szCs w:val="22"/>
              </w:rPr>
            </w:pPr>
          </w:p>
          <w:p w:rsidR="00FC4127" w:rsidRPr="00923D98" w:rsidP="00214782" w14:paraId="34BD6D42"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3,0</w:t>
            </w:r>
          </w:p>
        </w:tc>
        <w:tc>
          <w:tcPr>
            <w:tcW w:w="820" w:type="pct"/>
          </w:tcPr>
          <w:p w:rsidR="00FC4127" w:rsidRPr="00923D98" w:rsidP="00214782" w14:paraId="621539F7"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Běžně možná </w:t>
            </w:r>
          </w:p>
          <w:p w:rsidR="00FC4127" w:rsidRPr="00923D98" w:rsidP="00214782" w14:paraId="635DB363"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2,1</w:t>
            </w:r>
          </w:p>
        </w:tc>
        <w:tc>
          <w:tcPr>
            <w:tcW w:w="731" w:type="pct"/>
          </w:tcPr>
          <w:p w:rsidR="00FC4127" w:rsidRPr="00923D98" w:rsidP="00214782" w14:paraId="1CB7C412"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Běžná/nízká </w:t>
            </w:r>
          </w:p>
          <w:p w:rsidR="00FC4127" w:rsidRPr="00923D98" w:rsidP="00214782" w14:paraId="50E9979E"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6,3 </w:t>
            </w:r>
          </w:p>
        </w:tc>
        <w:tc>
          <w:tcPr>
            <w:tcW w:w="795" w:type="pct"/>
          </w:tcPr>
          <w:p w:rsidR="00FC4127" w:rsidRPr="00923D98" w:rsidP="00214782" w14:paraId="2C6A6144" w14:textId="74AFD97F">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Monitoring legislativního procesu </w:t>
            </w:r>
          </w:p>
        </w:tc>
        <w:tc>
          <w:tcPr>
            <w:tcW w:w="579" w:type="pct"/>
          </w:tcPr>
          <w:p w:rsidR="00FC4127" w:rsidRPr="00923D98" w:rsidP="00214782" w14:paraId="08223184" w14:textId="1B7E32D6">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Garant a gestoři IP 1.</w:t>
            </w:r>
            <w:r w:rsidRPr="00923D98" w:rsidR="001604A8">
              <w:rPr>
                <w:rFonts w:asciiTheme="minorHAnsi" w:hAnsiTheme="minorHAnsi" w:cstheme="minorHAnsi"/>
                <w:color w:val="000000" w:themeColor="text1"/>
                <w:sz w:val="22"/>
                <w:szCs w:val="22"/>
              </w:rPr>
              <w:t>3</w:t>
            </w:r>
          </w:p>
        </w:tc>
      </w:tr>
      <w:tr w14:paraId="4E77C83A" w14:textId="77777777" w:rsidTr="00882EC6">
        <w:tblPrEx>
          <w:tblW w:w="5000" w:type="pct"/>
          <w:tblCellMar>
            <w:left w:w="70" w:type="dxa"/>
            <w:right w:w="70" w:type="dxa"/>
          </w:tblCellMar>
          <w:tblLook w:val="0000"/>
        </w:tblPrEx>
        <w:trPr>
          <w:trHeight w:val="420"/>
        </w:trPr>
        <w:tc>
          <w:tcPr>
            <w:tcW w:w="788" w:type="pct"/>
          </w:tcPr>
          <w:p w:rsidR="00FC4127" w:rsidRPr="00923D98" w:rsidP="00214782" w14:paraId="7A67BC27"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Nedostatek personálních kapacit </w:t>
            </w:r>
          </w:p>
          <w:p w:rsidR="00FC4127" w:rsidRPr="00923D98" w:rsidP="00214782" w14:paraId="78AA1DB3" w14:textId="77777777">
            <w:pPr>
              <w:autoSpaceDE w:val="0"/>
              <w:autoSpaceDN w:val="0"/>
              <w:adjustRightInd w:val="0"/>
              <w:rPr>
                <w:rFonts w:asciiTheme="minorHAnsi" w:hAnsiTheme="minorHAnsi" w:cstheme="minorHAnsi"/>
                <w:bCs/>
                <w:color w:val="000000" w:themeColor="text1"/>
                <w:sz w:val="22"/>
                <w:szCs w:val="22"/>
              </w:rPr>
            </w:pPr>
          </w:p>
        </w:tc>
        <w:tc>
          <w:tcPr>
            <w:tcW w:w="788" w:type="pct"/>
          </w:tcPr>
          <w:p w:rsidR="00FC4127" w:rsidRPr="00923D98" w:rsidP="00214782" w14:paraId="31424DD8"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Nedostatek personálních kapacit </w:t>
            </w:r>
          </w:p>
          <w:p w:rsidR="00FC4127" w:rsidRPr="00923D98" w:rsidP="00214782" w14:paraId="57B12E03" w14:textId="77777777">
            <w:pPr>
              <w:autoSpaceDE w:val="0"/>
              <w:autoSpaceDN w:val="0"/>
              <w:adjustRightInd w:val="0"/>
              <w:rPr>
                <w:rFonts w:asciiTheme="minorHAnsi" w:hAnsiTheme="minorHAnsi" w:cstheme="minorHAnsi"/>
                <w:color w:val="000000" w:themeColor="text1"/>
                <w:sz w:val="22"/>
                <w:szCs w:val="22"/>
              </w:rPr>
            </w:pPr>
          </w:p>
        </w:tc>
        <w:tc>
          <w:tcPr>
            <w:tcW w:w="499" w:type="pct"/>
          </w:tcPr>
          <w:p w:rsidR="00FC4127" w:rsidRPr="00923D98" w:rsidP="00214782" w14:paraId="433EFB10"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Významný</w:t>
            </w:r>
          </w:p>
          <w:p w:rsidR="00FC4127" w:rsidRPr="00923D98" w:rsidP="00214782" w14:paraId="623263B6" w14:textId="77777777">
            <w:pPr>
              <w:autoSpaceDE w:val="0"/>
              <w:autoSpaceDN w:val="0"/>
              <w:adjustRightInd w:val="0"/>
              <w:rPr>
                <w:rFonts w:asciiTheme="minorHAnsi" w:hAnsiTheme="minorHAnsi" w:cstheme="minorHAnsi"/>
                <w:color w:val="000000" w:themeColor="text1"/>
                <w:sz w:val="22"/>
                <w:szCs w:val="22"/>
              </w:rPr>
            </w:pPr>
          </w:p>
          <w:p w:rsidR="00FC4127" w:rsidRPr="00923D98" w:rsidP="00214782" w14:paraId="42282139"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3,0</w:t>
            </w:r>
          </w:p>
        </w:tc>
        <w:tc>
          <w:tcPr>
            <w:tcW w:w="820" w:type="pct"/>
          </w:tcPr>
          <w:p w:rsidR="00FC4127" w:rsidRPr="00923D98" w:rsidP="00214782" w14:paraId="188F54F6"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Běžně možná</w:t>
            </w:r>
          </w:p>
          <w:p w:rsidR="00FC4127" w:rsidRPr="00923D98" w:rsidP="00214782" w14:paraId="4DBB1F42" w14:textId="77777777">
            <w:pPr>
              <w:autoSpaceDE w:val="0"/>
              <w:autoSpaceDN w:val="0"/>
              <w:adjustRightInd w:val="0"/>
              <w:rPr>
                <w:rFonts w:asciiTheme="minorHAnsi" w:hAnsiTheme="minorHAnsi" w:cstheme="minorHAnsi"/>
                <w:color w:val="000000" w:themeColor="text1"/>
                <w:sz w:val="22"/>
                <w:szCs w:val="22"/>
              </w:rPr>
            </w:pPr>
          </w:p>
          <w:p w:rsidR="00FC4127" w:rsidRPr="00923D98" w:rsidP="00214782" w14:paraId="1EAB022B"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 3,0</w:t>
            </w:r>
          </w:p>
        </w:tc>
        <w:tc>
          <w:tcPr>
            <w:tcW w:w="731" w:type="pct"/>
          </w:tcPr>
          <w:p w:rsidR="00FC4127" w:rsidRPr="00923D98" w:rsidP="00214782" w14:paraId="217EE146"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Závažná</w:t>
            </w:r>
          </w:p>
          <w:p w:rsidR="00FC4127" w:rsidRPr="00923D98" w:rsidP="00214782" w14:paraId="1B94F002"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w:t>
            </w:r>
          </w:p>
          <w:p w:rsidR="00FC4127" w:rsidRPr="00923D98" w:rsidP="00214782" w14:paraId="3BC82B55"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Střední</w:t>
            </w:r>
          </w:p>
          <w:p w:rsidR="00FC4127" w:rsidRPr="00923D98" w:rsidP="00214782" w14:paraId="093334F9" w14:textId="77777777">
            <w:pPr>
              <w:autoSpaceDE w:val="0"/>
              <w:autoSpaceDN w:val="0"/>
              <w:adjustRightInd w:val="0"/>
              <w:rPr>
                <w:rFonts w:asciiTheme="minorHAnsi" w:hAnsiTheme="minorHAnsi" w:cstheme="minorHAnsi"/>
                <w:color w:val="000000" w:themeColor="text1"/>
                <w:sz w:val="22"/>
                <w:szCs w:val="22"/>
              </w:rPr>
            </w:pPr>
          </w:p>
          <w:p w:rsidR="00FC4127" w:rsidRPr="00923D98" w:rsidP="00214782" w14:paraId="0C83E6D0"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9,0</w:t>
            </w:r>
          </w:p>
        </w:tc>
        <w:tc>
          <w:tcPr>
            <w:tcW w:w="795" w:type="pct"/>
          </w:tcPr>
          <w:p w:rsidR="00FC4127" w:rsidRPr="00923D98" w:rsidP="00214782" w14:paraId="3B3A6F70" w14:textId="35FEFA04">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Nastavení motivačních prvků práce </w:t>
            </w:r>
            <w:r w:rsidRPr="00923D98" w:rsidR="0059764C">
              <w:rPr>
                <w:rFonts w:asciiTheme="minorHAnsi" w:hAnsiTheme="minorHAnsi" w:cstheme="minorHAnsi"/>
                <w:color w:val="000000" w:themeColor="text1"/>
                <w:sz w:val="22"/>
                <w:szCs w:val="22"/>
              </w:rPr>
              <w:br/>
            </w:r>
            <w:r w:rsidRPr="00923D98">
              <w:rPr>
                <w:rFonts w:asciiTheme="minorHAnsi" w:hAnsiTheme="minorHAnsi" w:cstheme="minorHAnsi"/>
                <w:color w:val="000000" w:themeColor="text1"/>
                <w:sz w:val="22"/>
                <w:szCs w:val="22"/>
              </w:rPr>
              <w:t xml:space="preserve">na opatřeních implementačního plánu </w:t>
            </w:r>
          </w:p>
        </w:tc>
        <w:tc>
          <w:tcPr>
            <w:tcW w:w="579" w:type="pct"/>
          </w:tcPr>
          <w:p w:rsidR="00FC4127" w:rsidRPr="00923D98" w:rsidP="00214782" w14:paraId="4BD1E62A" w14:textId="53710A44">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Garant a gestoři IP 1.</w:t>
            </w:r>
            <w:r w:rsidRPr="00923D98" w:rsidR="001604A8">
              <w:rPr>
                <w:rFonts w:asciiTheme="minorHAnsi" w:hAnsiTheme="minorHAnsi" w:cstheme="minorHAnsi"/>
                <w:color w:val="000000" w:themeColor="text1"/>
                <w:sz w:val="22"/>
                <w:szCs w:val="22"/>
              </w:rPr>
              <w:t>3</w:t>
            </w:r>
          </w:p>
        </w:tc>
      </w:tr>
      <w:tr w14:paraId="7E2CDA1D" w14:textId="77777777" w:rsidTr="00882EC6">
        <w:tblPrEx>
          <w:tblW w:w="5000" w:type="pct"/>
          <w:tblCellMar>
            <w:left w:w="70" w:type="dxa"/>
            <w:right w:w="70" w:type="dxa"/>
          </w:tblCellMar>
          <w:tblLook w:val="0000"/>
        </w:tblPrEx>
        <w:trPr>
          <w:trHeight w:val="420"/>
        </w:trPr>
        <w:tc>
          <w:tcPr>
            <w:tcW w:w="788" w:type="pct"/>
          </w:tcPr>
          <w:p w:rsidR="00497A51" w:rsidRPr="00923D98" w:rsidP="00497A51" w14:paraId="55F882C3" w14:textId="386B1DE5">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Výpadky volně prodejných léků, nebo léků, u nichž nebyla stanovena maximální cena</w:t>
            </w:r>
          </w:p>
        </w:tc>
        <w:tc>
          <w:tcPr>
            <w:tcW w:w="788" w:type="pct"/>
          </w:tcPr>
          <w:p w:rsidR="00497A51" w:rsidRPr="00923D98" w:rsidP="00497A51" w14:paraId="39BD4749" w14:textId="6FCACE3C">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U těchto léků není legislativně nastaveno označení „omezené dostupnosti“ distributory, proto (např. Nurofen či Ibuprofen), nepodléhají povinnosti zásob, jako je tomu např. u antibiotik.</w:t>
            </w:r>
          </w:p>
        </w:tc>
        <w:tc>
          <w:tcPr>
            <w:tcW w:w="499" w:type="pct"/>
          </w:tcPr>
          <w:p w:rsidR="00497A51" w:rsidRPr="00923D98" w:rsidP="00497A51" w14:paraId="1324692C" w14:textId="7777777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Významný</w:t>
            </w:r>
          </w:p>
          <w:p w:rsidR="00497A51" w:rsidRPr="00923D98" w:rsidP="00497A51" w14:paraId="76E37E2B" w14:textId="77777777">
            <w:pPr>
              <w:autoSpaceDE w:val="0"/>
              <w:autoSpaceDN w:val="0"/>
              <w:adjustRightInd w:val="0"/>
              <w:rPr>
                <w:rFonts w:asciiTheme="minorHAnsi" w:hAnsiTheme="minorHAnsi" w:cstheme="minorHAnsi"/>
                <w:color w:val="000000" w:themeColor="text1"/>
                <w:sz w:val="22"/>
                <w:szCs w:val="22"/>
              </w:rPr>
            </w:pPr>
          </w:p>
          <w:p w:rsidR="00497A51" w:rsidRPr="00923D98" w:rsidP="00497A51" w14:paraId="2D648A32" w14:textId="2A9BBD5D">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4,0</w:t>
            </w:r>
          </w:p>
        </w:tc>
        <w:tc>
          <w:tcPr>
            <w:tcW w:w="820" w:type="pct"/>
          </w:tcPr>
          <w:p w:rsidR="00497A51" w:rsidRPr="00923D98" w:rsidP="00497A51" w14:paraId="28089059" w14:textId="0F054027">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Hraničící s jistotou</w:t>
            </w:r>
          </w:p>
          <w:p w:rsidR="00497A51" w:rsidRPr="00923D98" w:rsidP="00497A51" w14:paraId="6B9661E6" w14:textId="77777777">
            <w:pPr>
              <w:autoSpaceDE w:val="0"/>
              <w:autoSpaceDN w:val="0"/>
              <w:adjustRightInd w:val="0"/>
              <w:rPr>
                <w:rFonts w:asciiTheme="minorHAnsi" w:hAnsiTheme="minorHAnsi" w:cstheme="minorHAnsi"/>
                <w:color w:val="000000" w:themeColor="text1"/>
                <w:sz w:val="22"/>
                <w:szCs w:val="22"/>
              </w:rPr>
            </w:pPr>
          </w:p>
          <w:p w:rsidR="00497A51" w:rsidRPr="00923D98" w:rsidP="00497A51" w14:paraId="05166F5E" w14:textId="2D2EB6FC">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 4,1</w:t>
            </w:r>
          </w:p>
        </w:tc>
        <w:tc>
          <w:tcPr>
            <w:tcW w:w="731" w:type="pct"/>
          </w:tcPr>
          <w:p w:rsidR="00497A51" w:rsidRPr="00923D98" w:rsidP="00497A51" w14:paraId="6C5855E3" w14:textId="5C26FAB0">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Kritická/</w:t>
            </w:r>
            <w:r w:rsidRPr="00923D98">
              <w:rPr>
                <w:rFonts w:asciiTheme="minorHAnsi" w:hAnsiTheme="minorHAnsi" w:cstheme="minorHAnsi"/>
                <w:color w:val="000000" w:themeColor="text1"/>
                <w:sz w:val="22"/>
                <w:szCs w:val="22"/>
              </w:rPr>
              <w:br/>
              <w:t xml:space="preserve">vysoká  </w:t>
            </w:r>
          </w:p>
          <w:p w:rsidR="00C70244" w:rsidRPr="00923D98" w:rsidP="00497A51" w14:paraId="6D5F4450" w14:textId="77777777">
            <w:pPr>
              <w:autoSpaceDE w:val="0"/>
              <w:autoSpaceDN w:val="0"/>
              <w:adjustRightInd w:val="0"/>
              <w:rPr>
                <w:rFonts w:asciiTheme="minorHAnsi" w:hAnsiTheme="minorHAnsi" w:cstheme="minorHAnsi"/>
                <w:color w:val="000000" w:themeColor="text1"/>
                <w:sz w:val="22"/>
                <w:szCs w:val="22"/>
              </w:rPr>
            </w:pPr>
          </w:p>
          <w:p w:rsidR="00497A51" w:rsidRPr="00923D98" w:rsidP="00497A51" w14:paraId="48BB1C66" w14:textId="26462DFF">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16</w:t>
            </w:r>
            <w:r w:rsidRPr="00923D98">
              <w:rPr>
                <w:rFonts w:asciiTheme="minorHAnsi" w:hAnsiTheme="minorHAnsi" w:cstheme="minorHAnsi"/>
                <w:color w:val="000000" w:themeColor="text1"/>
                <w:sz w:val="22"/>
                <w:szCs w:val="22"/>
              </w:rPr>
              <w:t>,</w:t>
            </w:r>
            <w:r w:rsidRPr="00923D98">
              <w:rPr>
                <w:rFonts w:asciiTheme="minorHAnsi" w:hAnsiTheme="minorHAnsi" w:cstheme="minorHAnsi"/>
                <w:color w:val="000000" w:themeColor="text1"/>
                <w:sz w:val="22"/>
                <w:szCs w:val="22"/>
              </w:rPr>
              <w:t>4</w:t>
            </w:r>
          </w:p>
        </w:tc>
        <w:tc>
          <w:tcPr>
            <w:tcW w:w="795" w:type="pct"/>
          </w:tcPr>
          <w:p w:rsidR="00497A51" w:rsidRPr="00923D98" w:rsidP="00497A51" w14:paraId="4D3D582F" w14:textId="2233BED0">
            <w:pPr>
              <w:autoSpaceDE w:val="0"/>
              <w:autoSpaceDN w:val="0"/>
              <w:adjustRightInd w:val="0"/>
              <w:rPr>
                <w:rFonts w:asciiTheme="minorHAnsi" w:hAnsiTheme="minorHAnsi" w:cstheme="minorHAnsi"/>
                <w:color w:val="000000" w:themeColor="text1"/>
                <w:sz w:val="22"/>
                <w:szCs w:val="22"/>
              </w:rPr>
            </w:pPr>
            <w:r w:rsidRPr="00D7735B">
              <w:rPr>
                <w:rFonts w:asciiTheme="minorHAnsi" w:hAnsiTheme="minorHAnsi" w:cstheme="minorHAnsi"/>
                <w:sz w:val="22"/>
                <w:szCs w:val="22"/>
              </w:rPr>
              <w:t>Nastavení motivačních prvků pro držitele rozhodnutí o registraci, aby měli zájem na předcházení výpadků léčivých přípravků</w:t>
            </w:r>
          </w:p>
        </w:tc>
        <w:tc>
          <w:tcPr>
            <w:tcW w:w="579" w:type="pct"/>
          </w:tcPr>
          <w:p w:rsidR="00497A51" w:rsidRPr="00923D98" w:rsidP="00497A51" w14:paraId="456CE8D4" w14:textId="7201DCA4">
            <w:pPr>
              <w:autoSpaceDE w:val="0"/>
              <w:autoSpaceDN w:val="0"/>
              <w:adjustRightInd w:val="0"/>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Garant a gestoři IP 1.3</w:t>
            </w:r>
          </w:p>
        </w:tc>
      </w:tr>
    </w:tbl>
    <w:p w:rsidR="00960C9E" w:rsidP="00960C9E" w14:paraId="6FF792F6" w14:textId="63A67166">
      <w:pPr>
        <w:autoSpaceDE w:val="0"/>
        <w:autoSpaceDN w:val="0"/>
        <w:adjustRightInd w:val="0"/>
        <w:jc w:val="both"/>
        <w:rPr>
          <w:rFonts w:asciiTheme="minorHAnsi" w:hAnsiTheme="minorHAnsi" w:cstheme="minorHAnsi"/>
          <w:sz w:val="20"/>
          <w:szCs w:val="20"/>
        </w:rPr>
      </w:pPr>
      <w:r w:rsidRPr="00923D98">
        <w:rPr>
          <w:rFonts w:asciiTheme="minorHAnsi" w:hAnsiTheme="minorHAnsi" w:cstheme="minorHAnsi"/>
          <w:sz w:val="20"/>
          <w:szCs w:val="20"/>
        </w:rPr>
        <w:t>Zdroj: vlastní zpracování</w:t>
      </w:r>
    </w:p>
    <w:p w:rsidR="00D7735B" w14:paraId="66F3689A" w14:textId="2300D5B5">
      <w:pPr>
        <w:rPr>
          <w:rFonts w:asciiTheme="minorHAnsi" w:hAnsiTheme="minorHAnsi" w:cstheme="minorHAnsi"/>
          <w:sz w:val="20"/>
          <w:szCs w:val="20"/>
        </w:rPr>
      </w:pPr>
      <w:r>
        <w:rPr>
          <w:rFonts w:asciiTheme="minorHAnsi" w:hAnsiTheme="minorHAnsi" w:cstheme="minorHAnsi"/>
          <w:sz w:val="20"/>
          <w:szCs w:val="20"/>
        </w:rPr>
        <w:br w:type="page"/>
      </w:r>
    </w:p>
    <w:p w:rsidR="00305124" w:rsidRPr="00923D98" w:rsidP="00056EC7" w14:paraId="18402901" w14:textId="719DEDDB">
      <w:pPr>
        <w:pStyle w:val="Heading1"/>
        <w:numPr>
          <w:ilvl w:val="0"/>
          <w:numId w:val="13"/>
        </w:numPr>
        <w:rPr>
          <w:rFonts w:cstheme="minorHAnsi"/>
        </w:rPr>
      </w:pPr>
      <w:bookmarkStart w:id="238" w:name="_Toc256000007"/>
      <w:r w:rsidRPr="00923D98">
        <w:rPr>
          <w:rFonts w:cstheme="minorHAnsi"/>
        </w:rPr>
        <w:t>Řízení změn</w:t>
      </w:r>
      <w:bookmarkEnd w:id="238"/>
      <w:r w:rsidRPr="00923D98">
        <w:rPr>
          <w:rFonts w:cstheme="minorHAnsi"/>
        </w:rPr>
        <w:t xml:space="preserve"> </w:t>
      </w:r>
    </w:p>
    <w:p w:rsidR="00696B0E" w:rsidRPr="00923D98" w:rsidP="006234D1" w14:paraId="7071D1CB" w14:textId="77777777">
      <w:pPr>
        <w:autoSpaceDE w:val="0"/>
        <w:autoSpaceDN w:val="0"/>
        <w:adjustRightInd w:val="0"/>
        <w:jc w:val="both"/>
        <w:rPr>
          <w:rFonts w:asciiTheme="minorHAnsi" w:hAnsiTheme="minorHAnsi" w:cstheme="minorHAnsi"/>
          <w:b/>
          <w:color w:val="000000" w:themeColor="text1"/>
        </w:rPr>
      </w:pPr>
    </w:p>
    <w:p w:rsidR="00960C9E" w:rsidRPr="00923D98" w:rsidP="00960C9E" w14:paraId="3E76556A" w14:textId="31722498">
      <w:pPr>
        <w:jc w:val="both"/>
        <w:rPr>
          <w:rFonts w:asciiTheme="minorHAnsi" w:hAnsiTheme="minorHAnsi" w:cstheme="minorHAnsi"/>
          <w:color w:val="000000" w:themeColor="text1"/>
        </w:rPr>
      </w:pPr>
      <w:r w:rsidRPr="00923D98">
        <w:rPr>
          <w:rFonts w:asciiTheme="minorHAnsi" w:hAnsiTheme="minorHAnsi" w:cstheme="minorHAnsi"/>
        </w:rPr>
        <w:t xml:space="preserve">Implementace probíhá v neustále se měnícím prostředí, a tak je pravděpodobné, že se budou muset implementační plány pravidelně revidovat a aktualizovat. </w:t>
      </w:r>
      <w:r w:rsidRPr="00923D98" w:rsidR="00C74A28">
        <w:rPr>
          <w:rFonts w:asciiTheme="minorHAnsi" w:hAnsiTheme="minorHAnsi" w:cstheme="minorHAnsi"/>
        </w:rPr>
        <w:t xml:space="preserve">Ostatně právě </w:t>
      </w:r>
      <w:r w:rsidRPr="00923D98" w:rsidR="00181217">
        <w:rPr>
          <w:rFonts w:asciiTheme="minorHAnsi" w:hAnsiTheme="minorHAnsi" w:cstheme="minorHAnsi"/>
        </w:rPr>
        <w:t>výstupem poslední aktualizace je i tento implementační plán</w:t>
      </w:r>
      <w:r w:rsidRPr="00923D98">
        <w:rPr>
          <w:rFonts w:asciiTheme="minorHAnsi" w:hAnsiTheme="minorHAnsi" w:cstheme="minorHAnsi"/>
        </w:rPr>
        <w:t>.</w:t>
      </w:r>
    </w:p>
    <w:p w:rsidR="00960C9E" w:rsidRPr="00923D98" w:rsidP="00960C9E" w14:paraId="5CB7A763" w14:textId="77777777">
      <w:pPr>
        <w:jc w:val="both"/>
        <w:rPr>
          <w:rFonts w:asciiTheme="minorHAnsi" w:hAnsiTheme="minorHAnsi" w:cstheme="minorHAnsi"/>
        </w:rPr>
      </w:pPr>
    </w:p>
    <w:p w:rsidR="00B53D15" w:rsidRPr="00923D98" w:rsidP="00960C9E" w14:paraId="14492FEF" w14:textId="77777777">
      <w:pPr>
        <w:jc w:val="both"/>
        <w:rPr>
          <w:rFonts w:asciiTheme="minorHAnsi" w:hAnsiTheme="minorHAnsi" w:cstheme="minorHAnsi"/>
        </w:rPr>
      </w:pPr>
      <w:r w:rsidRPr="00923D98">
        <w:rPr>
          <w:rFonts w:asciiTheme="minorHAnsi" w:hAnsiTheme="minorHAnsi" w:cstheme="minorHAnsi"/>
        </w:rPr>
        <w:t>Pro přípravu a schvalování změn implementačního plánu je stanoven následující postup:</w:t>
      </w:r>
    </w:p>
    <w:p w:rsidR="00AF2F19" w:rsidRPr="00923D98" w:rsidP="00B53D15" w14:paraId="151DB99B" w14:textId="239CA8A4">
      <w:pPr>
        <w:pStyle w:val="ListParagraph"/>
        <w:numPr>
          <w:ilvl w:val="0"/>
          <w:numId w:val="42"/>
        </w:numPr>
        <w:jc w:val="both"/>
        <w:rPr>
          <w:rFonts w:asciiTheme="minorHAnsi" w:hAnsiTheme="minorHAnsi" w:cstheme="minorHAnsi"/>
          <w:color w:val="000000" w:themeColor="text1"/>
        </w:rPr>
      </w:pPr>
      <w:r w:rsidRPr="00923D98">
        <w:rPr>
          <w:rFonts w:asciiTheme="minorHAnsi" w:hAnsiTheme="minorHAnsi" w:cstheme="minorHAnsi"/>
        </w:rPr>
        <w:t>zpracování</w:t>
      </w:r>
      <w:r w:rsidRPr="00923D98" w:rsidR="00B53D15">
        <w:rPr>
          <w:rFonts w:asciiTheme="minorHAnsi" w:hAnsiTheme="minorHAnsi" w:cstheme="minorHAnsi"/>
        </w:rPr>
        <w:t xml:space="preserve"> roční Zprávy o průběhu realizace implementačního plánu</w:t>
      </w:r>
      <w:r w:rsidRPr="00923D98">
        <w:rPr>
          <w:rFonts w:asciiTheme="minorHAnsi" w:hAnsiTheme="minorHAnsi" w:cstheme="minorHAnsi"/>
        </w:rPr>
        <w:t>, v </w:t>
      </w:r>
      <w:r w:rsidRPr="00923D98">
        <w:rPr>
          <w:rFonts w:asciiTheme="minorHAnsi" w:hAnsiTheme="minorHAnsi" w:cstheme="minorHAnsi"/>
        </w:rPr>
        <w:t>rámci</w:t>
      </w:r>
      <w:r w:rsidRPr="00923D98">
        <w:rPr>
          <w:rFonts w:asciiTheme="minorHAnsi" w:hAnsiTheme="minorHAnsi" w:cstheme="minorHAnsi"/>
        </w:rPr>
        <w:t xml:space="preserve"> které mohou být formulovány nutné změny v rovině opatření, financování apod.; </w:t>
      </w:r>
    </w:p>
    <w:p w:rsidR="001070F2" w:rsidRPr="00923D98" w:rsidP="00AF2F19" w14:paraId="5DFA5FD6" w14:textId="77777777">
      <w:pPr>
        <w:pStyle w:val="ListParagraph"/>
        <w:numPr>
          <w:ilvl w:val="0"/>
          <w:numId w:val="42"/>
        </w:numPr>
        <w:jc w:val="both"/>
        <w:rPr>
          <w:rFonts w:asciiTheme="minorHAnsi" w:hAnsiTheme="minorHAnsi" w:cstheme="minorHAnsi"/>
          <w:color w:val="000000" w:themeColor="text1"/>
        </w:rPr>
      </w:pPr>
      <w:r w:rsidRPr="00923D98">
        <w:rPr>
          <w:rFonts w:asciiTheme="minorHAnsi" w:hAnsiTheme="minorHAnsi" w:cstheme="minorHAnsi"/>
        </w:rPr>
        <w:t>z</w:t>
      </w:r>
      <w:r w:rsidRPr="00923D98" w:rsidR="00960C9E">
        <w:rPr>
          <w:rFonts w:asciiTheme="minorHAnsi" w:hAnsiTheme="minorHAnsi" w:cstheme="minorHAnsi"/>
        </w:rPr>
        <w:t>měny jsou</w:t>
      </w:r>
      <w:r w:rsidRPr="00923D98" w:rsidR="00960C9E">
        <w:rPr>
          <w:rFonts w:asciiTheme="minorHAnsi" w:hAnsiTheme="minorHAnsi" w:cstheme="minorHAnsi"/>
          <w:color w:val="000000" w:themeColor="text1"/>
        </w:rPr>
        <w:t xml:space="preserve"> projednány na úrovni pracovní a následně předloženy ke schválení Řídicímu výboru Zdraví 2035 a poté i poradě vedení MZD. </w:t>
      </w:r>
    </w:p>
    <w:p w:rsidR="00960C9E" w:rsidRPr="00923D98" w:rsidP="00AF2F19" w14:paraId="0C9D5FAD" w14:textId="21C83D95">
      <w:pPr>
        <w:pStyle w:val="ListParagraph"/>
        <w:numPr>
          <w:ilvl w:val="0"/>
          <w:numId w:val="42"/>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z</w:t>
      </w:r>
      <w:r w:rsidRPr="00923D98">
        <w:rPr>
          <w:rFonts w:asciiTheme="minorHAnsi" w:hAnsiTheme="minorHAnsi" w:cstheme="minorHAnsi"/>
          <w:color w:val="000000" w:themeColor="text1"/>
        </w:rPr>
        <w:t>měny většího rozsahu, které by vyžadovaly revokaci dokumentu, je nutné schválit Řídicím výborem Strategického rámce Zdraví 2035, poradou vedení a následně předložit vládě ČR.</w:t>
      </w:r>
    </w:p>
    <w:p w:rsidR="00960C9E" w:rsidRPr="00923D98" w:rsidP="00960C9E" w14:paraId="0C6C3A1B" w14:textId="77777777">
      <w:pPr>
        <w:pStyle w:val="ListParagraph"/>
        <w:ind w:left="360"/>
        <w:jc w:val="both"/>
        <w:rPr>
          <w:rFonts w:asciiTheme="minorHAnsi" w:hAnsiTheme="minorHAnsi" w:cstheme="minorHAnsi"/>
          <w:color w:val="000000" w:themeColor="text1"/>
        </w:rPr>
      </w:pPr>
    </w:p>
    <w:p w:rsidR="00696B0E" w:rsidRPr="00923D98" w:rsidP="00960C9E" w14:paraId="7E8D567E" w14:textId="0A05ADEB">
      <w:pPr>
        <w:jc w:val="both"/>
        <w:rPr>
          <w:rFonts w:asciiTheme="minorHAnsi" w:hAnsiTheme="minorHAnsi" w:cstheme="minorHAnsi"/>
        </w:rPr>
      </w:pPr>
      <w:r w:rsidRPr="00923D98">
        <w:rPr>
          <w:rFonts w:asciiTheme="minorHAnsi" w:hAnsiTheme="minorHAnsi" w:cstheme="minorHAnsi"/>
        </w:rPr>
        <w:t xml:space="preserve">Po </w:t>
      </w:r>
      <w:r w:rsidRPr="00923D98" w:rsidR="00666378">
        <w:rPr>
          <w:rFonts w:asciiTheme="minorHAnsi" w:hAnsiTheme="minorHAnsi" w:cstheme="minorHAnsi"/>
        </w:rPr>
        <w:t>změně schválené vládou ČR je</w:t>
      </w:r>
      <w:r w:rsidRPr="00923D98">
        <w:rPr>
          <w:rFonts w:asciiTheme="minorHAnsi" w:hAnsiTheme="minorHAnsi" w:cstheme="minorHAnsi"/>
        </w:rPr>
        <w:t xml:space="preserve"> vydána nová verze implementačního plánu s vyznačením platnosti.   </w:t>
      </w:r>
      <w:r w:rsidRPr="00923D98" w:rsidR="00BA76A7">
        <w:rPr>
          <w:rFonts w:asciiTheme="minorHAnsi" w:hAnsiTheme="minorHAnsi" w:cstheme="minorHAnsi"/>
          <w:b/>
          <w:color w:val="000000" w:themeColor="text1"/>
        </w:rPr>
        <w:br w:type="page"/>
      </w:r>
    </w:p>
    <w:p w:rsidR="00796CA8" w:rsidRPr="00923D98" w:rsidP="00A75E86" w14:paraId="0F3C0CA6" w14:textId="77777777">
      <w:pPr>
        <w:pStyle w:val="Heading1"/>
        <w:numPr>
          <w:ilvl w:val="0"/>
          <w:numId w:val="13"/>
        </w:numPr>
        <w:rPr>
          <w:rFonts w:cstheme="minorHAnsi"/>
        </w:rPr>
      </w:pPr>
      <w:bookmarkStart w:id="239" w:name="_Toc256000008"/>
      <w:r w:rsidRPr="00923D98">
        <w:rPr>
          <w:rFonts w:cstheme="minorHAnsi"/>
        </w:rPr>
        <w:t xml:space="preserve">Monitorování a </w:t>
      </w:r>
      <w:r w:rsidRPr="00923D98" w:rsidR="00F20902">
        <w:rPr>
          <w:rFonts w:cstheme="minorHAnsi"/>
        </w:rPr>
        <w:t>evaluace</w:t>
      </w:r>
      <w:bookmarkEnd w:id="239"/>
    </w:p>
    <w:p w:rsidR="00796CA8" w:rsidRPr="00923D98" w:rsidP="00796CA8" w14:paraId="0DBDECF0" w14:textId="77777777">
      <w:pPr>
        <w:rPr>
          <w:rFonts w:asciiTheme="minorHAnsi" w:hAnsiTheme="minorHAnsi" w:cstheme="minorHAnsi"/>
          <w:color w:val="000000" w:themeColor="text1"/>
        </w:rPr>
      </w:pPr>
    </w:p>
    <w:p w:rsidR="00960C9E" w:rsidRPr="00923D98" w:rsidP="0025329C" w14:paraId="618913F4" w14:textId="77777777">
      <w:pPr>
        <w:spacing w:after="120"/>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Součástí implementace je i proces monitorování a evaluace realizace implementačního plánu. Tyto procesy do značné míry probíhají současně a kontinuálně. </w:t>
      </w:r>
    </w:p>
    <w:p w:rsidR="0025329C" w:rsidRPr="00923D98" w:rsidP="0025329C" w14:paraId="2B825CBF" w14:textId="77777777">
      <w:pPr>
        <w:spacing w:after="120"/>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Strategického rámce Zdraví 2035 jako celku, po skončení jeho realizace. </w:t>
      </w:r>
    </w:p>
    <w:p w:rsidR="00960C9E" w:rsidRPr="00923D98" w:rsidP="0025329C" w14:paraId="475E82E1" w14:textId="27D5D17A">
      <w:pPr>
        <w:spacing w:after="120"/>
        <w:jc w:val="both"/>
        <w:rPr>
          <w:rFonts w:asciiTheme="minorHAnsi" w:hAnsiTheme="minorHAnsi" w:cstheme="minorHAnsi"/>
          <w:color w:val="000000" w:themeColor="text1"/>
        </w:rPr>
      </w:pPr>
      <w:r w:rsidRPr="00923D98">
        <w:rPr>
          <w:rFonts w:asciiTheme="minorHAnsi" w:hAnsiTheme="minorHAnsi" w:cstheme="minorHAnsi"/>
          <w:color w:val="000000" w:themeColor="text1"/>
        </w:rPr>
        <w:t>Monitorovací systém je navržen tak, že každé dva roky bude vládě ČR předkládána pro informaci Zpráva o průběhu implementace Strategického rámce Zdraví 2035. Zpráva o</w:t>
      </w:r>
      <w:r w:rsidRPr="00923D98" w:rsidR="00A61486">
        <w:rPr>
          <w:rFonts w:asciiTheme="minorHAnsi" w:hAnsiTheme="minorHAnsi" w:cstheme="minorHAnsi"/>
          <w:color w:val="000000" w:themeColor="text1"/>
        </w:rPr>
        <w:t> </w:t>
      </w:r>
      <w:r w:rsidRPr="00923D98">
        <w:rPr>
          <w:rFonts w:asciiTheme="minorHAnsi" w:hAnsiTheme="minorHAnsi" w:cstheme="minorHAnsi"/>
          <w:color w:val="000000" w:themeColor="text1"/>
        </w:rPr>
        <w:t>průběhu realizace implementačního plánu</w:t>
      </w:r>
      <w:r>
        <w:rPr>
          <w:rStyle w:val="FootnoteReference"/>
          <w:rFonts w:asciiTheme="minorHAnsi" w:hAnsiTheme="minorHAnsi" w:cstheme="minorHAnsi"/>
        </w:rPr>
        <w:footnoteReference w:id="13"/>
      </w:r>
      <w:r w:rsidRPr="00923D98">
        <w:rPr>
          <w:rFonts w:asciiTheme="minorHAnsi" w:hAnsiTheme="minorHAnsi" w:cstheme="minorHAnsi"/>
          <w:color w:val="000000" w:themeColor="text1"/>
        </w:rPr>
        <w:t>, která představuje vyhodnocení postupu realizace samotného implementačního plánu, bude každý rok předkládána Řídicímu výboru Zdraví 2035 a následně ke schválení poradou vedení MZD. Bude sledováno, jakým směrem jde vývoj v dané oblasti a budou zajišťovány zdroje dat o vybraných oblastech a sledovány a</w:t>
      </w:r>
      <w:r w:rsidRPr="00923D98" w:rsidR="00005689">
        <w:rPr>
          <w:rFonts w:asciiTheme="minorHAnsi" w:hAnsiTheme="minorHAnsi" w:cstheme="minorHAnsi"/>
          <w:color w:val="000000" w:themeColor="text1"/>
        </w:rPr>
        <w:t> </w:t>
      </w:r>
      <w:r w:rsidRPr="00923D98">
        <w:rPr>
          <w:rFonts w:asciiTheme="minorHAnsi" w:hAnsiTheme="minorHAnsi" w:cstheme="minorHAnsi"/>
          <w:color w:val="000000" w:themeColor="text1"/>
        </w:rPr>
        <w:t xml:space="preserve">vyhodnocovány příslušné indikátory. Za vypracování a předložení Zprávy o průběhu realizace implementačního plánu Řídicímu výboru Zdraví 2035 a poradě vedení MZD odpovídá gestor implementačního plánu.  </w:t>
      </w:r>
    </w:p>
    <w:p w:rsidR="00960C9E" w:rsidRPr="00923D98" w:rsidP="00960C9E" w14:paraId="0FCFD698" w14:textId="77777777">
      <w:pPr>
        <w:jc w:val="both"/>
        <w:rPr>
          <w:rFonts w:asciiTheme="minorHAnsi" w:hAnsiTheme="minorHAnsi" w:cstheme="minorHAnsi"/>
          <w:color w:val="000000" w:themeColor="text1"/>
        </w:rPr>
      </w:pPr>
    </w:p>
    <w:p w:rsidR="00960C9E" w:rsidRPr="00923D98" w:rsidP="00960C9E" w14:paraId="43227601" w14:textId="77777777">
      <w:p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Povinnou součástí Zprávy o průběhu realizace implementačního plánu je: </w:t>
      </w:r>
    </w:p>
    <w:p w:rsidR="00960C9E" w:rsidRPr="00923D98" w:rsidP="00960C9E" w14:paraId="1C15E34D" w14:textId="1EDB91ED">
      <w:pPr>
        <w:pStyle w:val="ListParagraph"/>
        <w:numPr>
          <w:ilvl w:val="0"/>
          <w:numId w:val="17"/>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vyhodnocení plnění jednotlivých opatření</w:t>
      </w:r>
      <w:r w:rsidRPr="00923D98" w:rsidR="00956AAC">
        <w:rPr>
          <w:rFonts w:asciiTheme="minorHAnsi" w:hAnsiTheme="minorHAnsi" w:cstheme="minorHAnsi"/>
          <w:color w:val="000000" w:themeColor="text1"/>
        </w:rPr>
        <w:t>;</w:t>
      </w:r>
      <w:r w:rsidRPr="00923D98">
        <w:rPr>
          <w:rFonts w:asciiTheme="minorHAnsi" w:hAnsiTheme="minorHAnsi" w:cstheme="minorHAnsi"/>
          <w:color w:val="000000" w:themeColor="text1"/>
        </w:rPr>
        <w:t xml:space="preserve"> </w:t>
      </w:r>
    </w:p>
    <w:p w:rsidR="00960C9E" w:rsidRPr="00923D98" w:rsidP="00960C9E" w14:paraId="0EBDB9C6" w14:textId="06B1C449">
      <w:pPr>
        <w:pStyle w:val="ListParagraph"/>
        <w:numPr>
          <w:ilvl w:val="0"/>
          <w:numId w:val="17"/>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aktualizovaný Registr rizik včetně vyhodnocení plnění nápravných opatření</w:t>
      </w:r>
      <w:r w:rsidRPr="00923D98" w:rsidR="00956AAC">
        <w:rPr>
          <w:rFonts w:asciiTheme="minorHAnsi" w:hAnsiTheme="minorHAnsi" w:cstheme="minorHAnsi"/>
          <w:color w:val="000000" w:themeColor="text1"/>
        </w:rPr>
        <w:t>;</w:t>
      </w:r>
    </w:p>
    <w:p w:rsidR="00960C9E" w:rsidRPr="00923D98" w:rsidP="00960C9E" w14:paraId="1F8C8845" w14:textId="6CC3D299">
      <w:pPr>
        <w:pStyle w:val="ListParagraph"/>
        <w:numPr>
          <w:ilvl w:val="0"/>
          <w:numId w:val="17"/>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návrhy na nepodstatné změny textu Implementačního plánu </w:t>
      </w:r>
      <w:r w:rsidRPr="00923D98">
        <w:rPr>
          <w:rFonts w:asciiTheme="minorHAnsi" w:hAnsiTheme="minorHAnsi" w:cstheme="minorHAnsi"/>
        </w:rPr>
        <w:t xml:space="preserve">(opatření, úpravy v navrhovaném </w:t>
      </w:r>
      <w:r w:rsidRPr="00923D98" w:rsidR="00956AAC">
        <w:rPr>
          <w:rFonts w:asciiTheme="minorHAnsi" w:hAnsiTheme="minorHAnsi" w:cstheme="minorHAnsi"/>
        </w:rPr>
        <w:t>financování</w:t>
      </w:r>
      <w:r w:rsidRPr="00923D98">
        <w:rPr>
          <w:rFonts w:asciiTheme="minorHAnsi" w:hAnsiTheme="minorHAnsi" w:cstheme="minorHAnsi"/>
        </w:rPr>
        <w:t xml:space="preserve"> atp</w:t>
      </w:r>
      <w:r w:rsidRPr="00923D98" w:rsidR="00956AAC">
        <w:rPr>
          <w:rFonts w:asciiTheme="minorHAnsi" w:hAnsiTheme="minorHAnsi" w:cstheme="minorHAnsi"/>
        </w:rPr>
        <w:t>.</w:t>
      </w:r>
      <w:r w:rsidRPr="00923D98">
        <w:rPr>
          <w:rFonts w:asciiTheme="minorHAnsi" w:hAnsiTheme="minorHAnsi" w:cstheme="minorHAnsi"/>
        </w:rPr>
        <w:t>)</w:t>
      </w:r>
      <w:r w:rsidRPr="00923D98" w:rsidR="00956AAC">
        <w:rPr>
          <w:rFonts w:asciiTheme="minorHAnsi" w:hAnsiTheme="minorHAnsi" w:cstheme="minorHAnsi"/>
        </w:rPr>
        <w:t>.</w:t>
      </w:r>
    </w:p>
    <w:p w:rsidR="00960C9E" w:rsidRPr="00923D98" w:rsidP="00960C9E" w14:paraId="6D548067" w14:textId="77777777">
      <w:pPr>
        <w:ind w:left="360"/>
        <w:jc w:val="both"/>
        <w:rPr>
          <w:rFonts w:asciiTheme="minorHAnsi" w:hAnsiTheme="minorHAnsi" w:cstheme="minorHAnsi"/>
          <w:color w:val="000000" w:themeColor="text1"/>
        </w:rPr>
      </w:pPr>
    </w:p>
    <w:p w:rsidR="00960C9E" w:rsidRPr="00923D98" w:rsidP="00960C9E" w14:paraId="5DCED83E" w14:textId="3351B6A1">
      <w:pPr>
        <w:jc w:val="both"/>
        <w:rPr>
          <w:rFonts w:asciiTheme="minorHAnsi" w:hAnsiTheme="minorHAnsi" w:cstheme="minorHAnsi"/>
          <w:color w:val="000000" w:themeColor="text1"/>
        </w:rPr>
      </w:pPr>
      <w:r w:rsidRPr="00923D98">
        <w:rPr>
          <w:rFonts w:asciiTheme="minorHAnsi" w:hAnsiTheme="minorHAnsi" w:cstheme="minorHAnsi"/>
          <w:color w:val="000000" w:themeColor="text1"/>
        </w:rPr>
        <w:t>Zpráva o průběhu realizace implementačního plánu</w:t>
      </w:r>
      <w:r w:rsidRPr="00923D98">
        <w:rPr>
          <w:rFonts w:asciiTheme="minorHAnsi" w:hAnsiTheme="minorHAnsi" w:cstheme="minorHAnsi"/>
          <w:color w:val="000000" w:themeColor="text1"/>
        </w:rPr>
        <w:t xml:space="preserve"> </w:t>
      </w:r>
      <w:r w:rsidRPr="00923D98">
        <w:rPr>
          <w:rFonts w:asciiTheme="minorHAnsi" w:hAnsiTheme="minorHAnsi" w:cstheme="minorHAnsi"/>
          <w:color w:val="000000" w:themeColor="text1"/>
        </w:rPr>
        <w:t xml:space="preserve">je gestorem implementačního plánu předkládána k projednání Řídicímu výboru Zdraví 2035 nejpozději </w:t>
      </w:r>
      <w:r w:rsidRPr="00923D98">
        <w:rPr>
          <w:rFonts w:asciiTheme="minorHAnsi" w:hAnsiTheme="minorHAnsi" w:cstheme="minorHAnsi"/>
          <w:b/>
          <w:bCs/>
          <w:color w:val="000000" w:themeColor="text1"/>
        </w:rPr>
        <w:t>do konce února následujícího roku</w:t>
      </w:r>
      <w:r w:rsidRPr="00923D98">
        <w:rPr>
          <w:rFonts w:asciiTheme="minorHAnsi" w:hAnsiTheme="minorHAnsi" w:cstheme="minorHAnsi"/>
          <w:color w:val="000000" w:themeColor="text1"/>
        </w:rPr>
        <w:t xml:space="preserve"> a ke schválení vedení MZD nejpozději </w:t>
      </w:r>
      <w:r w:rsidRPr="00923D98">
        <w:rPr>
          <w:rFonts w:asciiTheme="minorHAnsi" w:hAnsiTheme="minorHAnsi" w:cstheme="minorHAnsi"/>
          <w:b/>
          <w:bCs/>
          <w:color w:val="000000" w:themeColor="text1"/>
        </w:rPr>
        <w:t>do konce března následujícího roku</w:t>
      </w:r>
      <w:r w:rsidRPr="00923D98">
        <w:rPr>
          <w:rFonts w:asciiTheme="minorHAnsi" w:hAnsiTheme="minorHAnsi" w:cstheme="minorHAnsi"/>
          <w:color w:val="000000" w:themeColor="text1"/>
        </w:rPr>
        <w:t xml:space="preserve">. Každý druhý rok (v letech </w:t>
      </w:r>
      <w:r w:rsidRPr="00923D98">
        <w:rPr>
          <w:rFonts w:asciiTheme="minorHAnsi" w:hAnsiTheme="minorHAnsi" w:cstheme="minorHAnsi"/>
        </w:rPr>
        <w:t>2027, 2029, 2031, 2033</w:t>
      </w:r>
      <w:r w:rsidRPr="00923D98" w:rsidR="009C713E">
        <w:rPr>
          <w:rFonts w:asciiTheme="minorHAnsi" w:hAnsiTheme="minorHAnsi" w:cstheme="minorHAnsi"/>
        </w:rPr>
        <w:t>, 2035</w:t>
      </w:r>
      <w:r w:rsidRPr="00923D98">
        <w:rPr>
          <w:rFonts w:asciiTheme="minorHAnsi" w:hAnsiTheme="minorHAnsi" w:cstheme="minorHAnsi"/>
          <w:color w:val="000000" w:themeColor="text1"/>
        </w:rPr>
        <w:t xml:space="preserve">) je pak Zpráva o průběhu realizace implementačního plánu podkladem pro průběžnou Zprávou o průběhu realizace Strategického rámce rozvoje péče o zdraví v České republice do roku 2035, která je předkládána vládě ČR pro informaci vždy nejpozději do konce září následujícího roku. </w:t>
      </w:r>
      <w:bookmarkStart w:id="240" w:name="_Hlk186661225"/>
      <w:r w:rsidRPr="00923D98">
        <w:rPr>
          <w:rFonts w:asciiTheme="minorHAnsi" w:hAnsiTheme="minorHAnsi" w:cstheme="minorHAnsi"/>
        </w:rPr>
        <w:t>Na konci implementačního období bude vypracována Závěrečná zpráva o průběhu realizace Strategického rámce Zdraví 2035, která bude předložena vládě ČR do konce září 20</w:t>
      </w:r>
      <w:r w:rsidRPr="00923D98" w:rsidR="00A07154">
        <w:rPr>
          <w:rFonts w:asciiTheme="minorHAnsi" w:hAnsiTheme="minorHAnsi" w:cstheme="minorHAnsi"/>
        </w:rPr>
        <w:t>3</w:t>
      </w:r>
      <w:r w:rsidRPr="00923D98">
        <w:rPr>
          <w:rFonts w:asciiTheme="minorHAnsi" w:hAnsiTheme="minorHAnsi" w:cstheme="minorHAnsi"/>
        </w:rPr>
        <w:t xml:space="preserve">6. </w:t>
      </w:r>
      <w:bookmarkEnd w:id="240"/>
      <w:r w:rsidRPr="00923D98">
        <w:rPr>
          <w:rFonts w:asciiTheme="minorHAnsi" w:hAnsiTheme="minorHAnsi" w:cstheme="minorHAnsi"/>
          <w:color w:val="000000" w:themeColor="text1"/>
        </w:rPr>
        <w:t xml:space="preserve">  </w:t>
      </w:r>
    </w:p>
    <w:p w:rsidR="00960C9E" w:rsidRPr="00923D98" w:rsidP="00960C9E" w14:paraId="634AA0DB" w14:textId="77777777">
      <w:pPr>
        <w:jc w:val="both"/>
        <w:rPr>
          <w:rFonts w:asciiTheme="minorHAnsi" w:hAnsiTheme="minorHAnsi" w:cstheme="minorHAnsi"/>
          <w:color w:val="000000" w:themeColor="text1"/>
        </w:rPr>
      </w:pPr>
    </w:p>
    <w:p w:rsidR="00E41FEA" w:rsidRPr="00923D98" w:rsidP="00AD1392" w14:paraId="242A8A5F" w14:textId="77777777">
      <w:pPr>
        <w:jc w:val="both"/>
        <w:rPr>
          <w:rFonts w:asciiTheme="minorHAnsi" w:hAnsiTheme="minorHAnsi" w:cstheme="minorHAnsi"/>
          <w:color w:val="000000" w:themeColor="text1"/>
        </w:rPr>
      </w:pPr>
    </w:p>
    <w:p w:rsidR="00FA5CDA" w:rsidRPr="00923D98" w:rsidP="00AD1392" w14:paraId="39084E33" w14:textId="77777777">
      <w:pPr>
        <w:jc w:val="both"/>
        <w:rPr>
          <w:rFonts w:asciiTheme="minorHAnsi" w:hAnsiTheme="minorHAnsi" w:cstheme="minorHAnsi"/>
          <w:color w:val="000000" w:themeColor="text1"/>
        </w:rPr>
      </w:pPr>
    </w:p>
    <w:p w:rsidR="00427963" w:rsidRPr="00923D98" w:rsidP="00FA5CDA" w14:paraId="0EACD738" w14:textId="77777777">
      <w:pPr>
        <w:pStyle w:val="Heading1"/>
        <w:numPr>
          <w:ilvl w:val="0"/>
          <w:numId w:val="13"/>
        </w:numPr>
        <w:rPr>
          <w:rFonts w:cstheme="minorHAnsi"/>
        </w:rPr>
      </w:pPr>
      <w:bookmarkStart w:id="241" w:name="_Toc256000009"/>
      <w:r w:rsidRPr="00923D98">
        <w:rPr>
          <w:rFonts w:cstheme="minorHAnsi"/>
        </w:rPr>
        <w:t>Komunikační plán</w:t>
      </w:r>
      <w:bookmarkEnd w:id="241"/>
    </w:p>
    <w:p w:rsidR="004E0420" w:rsidRPr="00923D98" w:rsidP="00960C9E" w14:paraId="1F98D3D4" w14:textId="77777777">
      <w:pPr>
        <w:jc w:val="both"/>
        <w:rPr>
          <w:rFonts w:asciiTheme="minorHAnsi" w:hAnsiTheme="minorHAnsi" w:cstheme="minorHAnsi"/>
          <w:color w:val="000000" w:themeColor="text1"/>
        </w:rPr>
      </w:pPr>
    </w:p>
    <w:p w:rsidR="00960C9E" w:rsidRPr="00923D98" w:rsidP="00960C9E" w14:paraId="52F9EEE7" w14:textId="53633298">
      <w:p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Komunikační plán implementačního plánu vychází z Komunikační strategie Strategického rámce Zdraví 2035. Cílem komunikace realizace implementačního plánu je především zajistit informovanost dotčených subjektů a veřejnosti o existenci, obsahu a cílech daného implementačního plánu. </w:t>
      </w:r>
    </w:p>
    <w:p w:rsidR="00960C9E" w:rsidRPr="00923D98" w:rsidP="00960C9E" w14:paraId="594EF540" w14:textId="77777777">
      <w:pPr>
        <w:jc w:val="both"/>
        <w:rPr>
          <w:rFonts w:asciiTheme="minorHAnsi" w:hAnsiTheme="minorHAnsi" w:cstheme="minorHAnsi"/>
          <w:color w:val="000000" w:themeColor="text1"/>
        </w:rPr>
      </w:pPr>
    </w:p>
    <w:p w:rsidR="00960C9E" w:rsidRPr="00923D98" w:rsidP="00960C9E" w14:paraId="45237037" w14:textId="77777777">
      <w:pPr>
        <w:autoSpaceDE w:val="0"/>
        <w:autoSpaceDN w:val="0"/>
        <w:adjustRightInd w:val="0"/>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960C9E" w:rsidRPr="00923D98" w:rsidP="00960C9E" w14:paraId="7B94D142" w14:textId="77777777">
      <w:pPr>
        <w:jc w:val="both"/>
        <w:rPr>
          <w:rFonts w:asciiTheme="minorHAnsi" w:hAnsiTheme="minorHAnsi" w:cstheme="minorHAnsi"/>
          <w:color w:val="000000" w:themeColor="text1"/>
        </w:rPr>
      </w:pPr>
    </w:p>
    <w:p w:rsidR="00960C9E" w:rsidRPr="00923D98" w:rsidP="00960C9E" w14:paraId="172CC4AB" w14:textId="77777777">
      <w:p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V implementačním plánu jsou stanoveny základní parametry komunikačního plánu, v rámci Zprávy o průběhu realizace implementačního plánu je vždy aktualizován pro daný rok s tím, </w:t>
      </w:r>
      <w:r w:rsidRPr="00923D98">
        <w:rPr>
          <w:rFonts w:asciiTheme="minorHAnsi" w:hAnsiTheme="minorHAnsi" w:cstheme="minorHAnsi"/>
          <w:color w:val="000000" w:themeColor="text1"/>
        </w:rPr>
        <w:br/>
        <w:t xml:space="preserve">že je zohledněna fáze implementace implementačního plánu (tj. jsou vybírány prioritní cílové skupiny, konkrétní sdělení i formy sdělení atd.) </w:t>
      </w:r>
    </w:p>
    <w:p w:rsidR="00960C9E" w:rsidRPr="00923D98" w:rsidP="00960C9E" w14:paraId="2B8198FB" w14:textId="77777777">
      <w:pPr>
        <w:jc w:val="both"/>
        <w:rPr>
          <w:rFonts w:asciiTheme="minorHAnsi" w:hAnsiTheme="minorHAnsi" w:cstheme="minorHAnsi"/>
          <w:color w:val="000000" w:themeColor="text1"/>
        </w:rPr>
      </w:pPr>
    </w:p>
    <w:p w:rsidR="00960C9E" w:rsidRPr="00923D98" w:rsidP="00960C9E" w14:paraId="25D6AC41" w14:textId="77777777">
      <w:p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Tvorba a aktualizace Komunikačního plánu probíhá vždy ve spolupráci s odborem komunikace s veřejností MZD a celá realizace komunikačního plánů pak probíhá v úzké koordinaci s tímto odborem.  </w:t>
      </w:r>
    </w:p>
    <w:p w:rsidR="004E1D76" w:rsidRPr="00923D98" w:rsidP="004E1D76" w14:paraId="1DC430A4" w14:textId="77777777">
      <w:pPr>
        <w:jc w:val="both"/>
        <w:rPr>
          <w:rFonts w:asciiTheme="minorHAnsi" w:hAnsiTheme="minorHAnsi" w:cstheme="minorHAnsi"/>
          <w:color w:val="000000" w:themeColor="text1"/>
        </w:rPr>
      </w:pPr>
    </w:p>
    <w:p w:rsidR="00960C9E" w:rsidRPr="00923D98" w:rsidP="00960C9E" w14:paraId="7C25AA4B" w14:textId="77777777">
      <w:pPr>
        <w:jc w:val="both"/>
        <w:rPr>
          <w:rFonts w:asciiTheme="minorHAnsi" w:hAnsiTheme="minorHAnsi" w:cstheme="minorHAnsi"/>
          <w:color w:val="000000" w:themeColor="text1"/>
        </w:rPr>
      </w:pPr>
      <w:r w:rsidRPr="00923D98">
        <w:rPr>
          <w:rFonts w:asciiTheme="minorHAnsi" w:hAnsiTheme="minorHAnsi" w:cstheme="minorHAnsi"/>
          <w:color w:val="000000" w:themeColor="text1"/>
        </w:rPr>
        <w:t>Cílovými skupinami komunikace IP jsou zejména:</w:t>
      </w:r>
    </w:p>
    <w:p w:rsidR="00960C9E" w:rsidRPr="00923D98" w:rsidP="00960C9E" w14:paraId="4C02F1A9" w14:textId="77777777">
      <w:pPr>
        <w:pStyle w:val="ListParagraph"/>
        <w:numPr>
          <w:ilvl w:val="0"/>
          <w:numId w:val="25"/>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odborná i laická veřejnost,</w:t>
      </w:r>
    </w:p>
    <w:p w:rsidR="00960C9E" w:rsidRPr="00923D98" w:rsidP="00960C9E" w14:paraId="27FDC852" w14:textId="77777777">
      <w:pPr>
        <w:pStyle w:val="ListParagraph"/>
        <w:numPr>
          <w:ilvl w:val="0"/>
          <w:numId w:val="25"/>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organizace podřízené MZD,</w:t>
      </w:r>
    </w:p>
    <w:p w:rsidR="00960C9E" w:rsidRPr="00923D98" w:rsidP="00960C9E" w14:paraId="4DFAC928" w14:textId="77777777">
      <w:pPr>
        <w:pStyle w:val="ListParagraph"/>
        <w:numPr>
          <w:ilvl w:val="0"/>
          <w:numId w:val="25"/>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poskytovatelé zdravotních služeb,</w:t>
      </w:r>
    </w:p>
    <w:p w:rsidR="00960C9E" w:rsidRPr="00923D98" w:rsidP="00960C9E" w14:paraId="2903D56E" w14:textId="77777777">
      <w:pPr>
        <w:pStyle w:val="ListParagraph"/>
        <w:numPr>
          <w:ilvl w:val="0"/>
          <w:numId w:val="25"/>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pracovníci MZD,</w:t>
      </w:r>
    </w:p>
    <w:p w:rsidR="00960C9E" w:rsidRPr="00923D98" w:rsidP="00960C9E" w14:paraId="131FA4E5" w14:textId="77777777">
      <w:pPr>
        <w:pStyle w:val="ListParagraph"/>
        <w:numPr>
          <w:ilvl w:val="0"/>
          <w:numId w:val="25"/>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územní samosprávné celky,</w:t>
      </w:r>
    </w:p>
    <w:p w:rsidR="00960C9E" w:rsidRPr="00923D98" w:rsidP="00960C9E" w14:paraId="4005A70E" w14:textId="77777777">
      <w:pPr>
        <w:pStyle w:val="ListParagraph"/>
        <w:numPr>
          <w:ilvl w:val="0"/>
          <w:numId w:val="25"/>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profesní komory,</w:t>
      </w:r>
    </w:p>
    <w:p w:rsidR="00960C9E" w:rsidRPr="00923D98" w:rsidP="00960C9E" w14:paraId="33E690F7" w14:textId="77777777">
      <w:pPr>
        <w:pStyle w:val="ListParagraph"/>
        <w:numPr>
          <w:ilvl w:val="0"/>
          <w:numId w:val="25"/>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zájmová sdružení,</w:t>
      </w:r>
    </w:p>
    <w:p w:rsidR="00960C9E" w:rsidRPr="00923D98" w:rsidP="00960C9E" w14:paraId="2F541525" w14:textId="47C3FAD5">
      <w:pPr>
        <w:pStyle w:val="ListParagraph"/>
        <w:numPr>
          <w:ilvl w:val="0"/>
          <w:numId w:val="25"/>
        </w:numPr>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pacientské organizace a </w:t>
      </w:r>
      <w:r w:rsidRPr="00923D98" w:rsidR="00FA21D0">
        <w:rPr>
          <w:rFonts w:asciiTheme="minorHAnsi" w:hAnsiTheme="minorHAnsi" w:cstheme="minorHAnsi"/>
          <w:color w:val="000000" w:themeColor="text1"/>
        </w:rPr>
        <w:t>NNO</w:t>
      </w:r>
      <w:r w:rsidRPr="00923D98" w:rsidR="008242DB">
        <w:rPr>
          <w:rFonts w:asciiTheme="minorHAnsi" w:hAnsiTheme="minorHAnsi" w:cstheme="minorHAnsi"/>
          <w:color w:val="000000" w:themeColor="text1"/>
        </w:rPr>
        <w:t>.</w:t>
      </w:r>
    </w:p>
    <w:p w:rsidR="00960C9E" w:rsidRPr="00923D98" w:rsidP="00960C9E" w14:paraId="47BBF5DF" w14:textId="77777777">
      <w:pPr>
        <w:autoSpaceDE w:val="0"/>
        <w:autoSpaceDN w:val="0"/>
        <w:adjustRightInd w:val="0"/>
        <w:jc w:val="both"/>
        <w:rPr>
          <w:rFonts w:asciiTheme="minorHAnsi" w:hAnsiTheme="minorHAnsi" w:cstheme="minorHAnsi"/>
          <w:color w:val="000000" w:themeColor="text1"/>
        </w:rPr>
      </w:pPr>
    </w:p>
    <w:p w:rsidR="00960C9E" w:rsidRPr="00923D98" w:rsidP="00960C9E" w14:paraId="10D44627" w14:textId="71C80FFB">
      <w:pPr>
        <w:autoSpaceDE w:val="0"/>
        <w:autoSpaceDN w:val="0"/>
        <w:adjustRightInd w:val="0"/>
        <w:jc w:val="both"/>
        <w:rPr>
          <w:rFonts w:asciiTheme="minorHAnsi" w:hAnsiTheme="minorHAnsi" w:cstheme="minorHAnsi"/>
          <w:color w:val="000000" w:themeColor="text1"/>
        </w:rPr>
      </w:pPr>
      <w:r w:rsidRPr="00923D98">
        <w:rPr>
          <w:rFonts w:asciiTheme="minorHAnsi" w:hAnsiTheme="minorHAnsi" w:cstheme="minorHAnsi"/>
          <w:color w:val="000000" w:themeColor="text1"/>
        </w:rPr>
        <w:t xml:space="preserve">Obsah komunikace je zaměřen především na prezentaci implementačního plánu, jeho dílčích cílů a opatření uvedeným cílovým skupinám. Primárním nástrojem šíření informací bude web MZD a sociální sítě, které budou doplňovat případné letákové kampaně, tištěné brožury </w:t>
      </w:r>
      <w:r w:rsidRPr="00923D98">
        <w:rPr>
          <w:rFonts w:asciiTheme="minorHAnsi" w:hAnsiTheme="minorHAnsi" w:cstheme="minorHAnsi"/>
          <w:color w:val="000000" w:themeColor="text1"/>
        </w:rPr>
        <w:br/>
        <w:t>či tiskové konference k významným událostem v rámci jednotlivých aktivit, případně informační semináře pro poskytovatele zdravotních služeb a dotčené subjekty. Strategický rámec Zdraví 203</w:t>
      </w:r>
      <w:r w:rsidRPr="00923D98" w:rsidR="002066BF">
        <w:rPr>
          <w:rFonts w:asciiTheme="minorHAnsi" w:hAnsiTheme="minorHAnsi" w:cstheme="minorHAnsi"/>
          <w:color w:val="000000" w:themeColor="text1"/>
        </w:rPr>
        <w:t>5</w:t>
      </w:r>
      <w:r w:rsidRPr="00923D98">
        <w:rPr>
          <w:rFonts w:asciiTheme="minorHAnsi" w:hAnsiTheme="minorHAnsi" w:cstheme="minorHAnsi"/>
          <w:color w:val="000000" w:themeColor="text1"/>
        </w:rPr>
        <w:t xml:space="preserve"> a jeho implementační plány budou také pravidelně prezentovány </w:t>
      </w:r>
      <w:r w:rsidRPr="00923D98">
        <w:rPr>
          <w:rFonts w:asciiTheme="minorHAnsi" w:hAnsiTheme="minorHAnsi" w:cstheme="minorHAnsi"/>
          <w:color w:val="000000" w:themeColor="text1"/>
        </w:rPr>
        <w:br/>
        <w:t>na veřejných akcích pořádaných MZD.</w:t>
      </w:r>
    </w:p>
    <w:p w:rsidR="004E1D76" w:rsidRPr="00923D98" w:rsidP="004E1D76" w14:paraId="70CE75B5" w14:textId="77777777">
      <w:pPr>
        <w:autoSpaceDE w:val="0"/>
        <w:autoSpaceDN w:val="0"/>
        <w:adjustRightInd w:val="0"/>
        <w:jc w:val="both"/>
        <w:rPr>
          <w:rFonts w:asciiTheme="minorHAnsi" w:hAnsiTheme="minorHAnsi" w:cstheme="minorHAnsi"/>
          <w:color w:val="000000" w:themeColor="text1"/>
        </w:rPr>
      </w:pPr>
    </w:p>
    <w:p w:rsidR="00056EC7" w:rsidRPr="00923D98" w:rsidP="004E1D76" w14:paraId="3B869A70" w14:textId="77777777">
      <w:pPr>
        <w:autoSpaceDE w:val="0"/>
        <w:autoSpaceDN w:val="0"/>
        <w:adjustRightInd w:val="0"/>
        <w:jc w:val="both"/>
        <w:rPr>
          <w:rFonts w:asciiTheme="minorHAnsi" w:hAnsiTheme="minorHAnsi" w:cstheme="minorHAnsi"/>
          <w:color w:val="000000" w:themeColor="text1"/>
        </w:rPr>
      </w:pPr>
    </w:p>
    <w:p w:rsidR="0064521A" w:rsidRPr="00923D98" w14:paraId="64B682D9" w14:textId="77777777">
      <w:pPr>
        <w:rPr>
          <w:rFonts w:asciiTheme="minorHAnsi" w:hAnsiTheme="minorHAnsi" w:cstheme="minorHAnsi"/>
          <w:b/>
          <w:bCs/>
          <w:color w:val="4F81BD" w:themeColor="accent1"/>
          <w:sz w:val="18"/>
          <w:szCs w:val="18"/>
        </w:rPr>
      </w:pPr>
      <w:r w:rsidRPr="00923D98">
        <w:rPr>
          <w:rFonts w:asciiTheme="minorHAnsi" w:hAnsiTheme="minorHAnsi" w:cstheme="minorHAnsi"/>
        </w:rPr>
        <w:br w:type="page"/>
      </w:r>
    </w:p>
    <w:p w:rsidR="00056EC7" w:rsidRPr="00923D98" w:rsidP="0064521A" w14:paraId="35DF93EE" w14:textId="78B7B04A">
      <w:pPr>
        <w:pStyle w:val="Caption"/>
        <w:spacing w:after="0"/>
        <w:rPr>
          <w:rFonts w:asciiTheme="minorHAnsi" w:hAnsiTheme="minorHAnsi" w:cstheme="minorHAnsi"/>
          <w:color w:val="000000" w:themeColor="text1"/>
        </w:rPr>
      </w:pPr>
      <w:bookmarkStart w:id="242" w:name="_Toc256000016"/>
      <w:r w:rsidRPr="00923D98">
        <w:rPr>
          <w:rFonts w:asciiTheme="minorHAnsi" w:hAnsiTheme="minorHAnsi" w:cstheme="minorHAnsi"/>
        </w:rPr>
        <w:t xml:space="preserve">Tabulka </w:t>
      </w:r>
      <w:r w:rsidRPr="00923D98">
        <w:rPr>
          <w:rFonts w:asciiTheme="minorHAnsi" w:hAnsiTheme="minorHAnsi" w:cstheme="minorHAnsi"/>
        </w:rPr>
        <w:fldChar w:fldCharType="begin"/>
      </w:r>
      <w:r w:rsidRPr="00923D98">
        <w:rPr>
          <w:rFonts w:asciiTheme="minorHAnsi" w:hAnsiTheme="minorHAnsi" w:cstheme="minorHAnsi"/>
        </w:rPr>
        <w:instrText xml:space="preserve"> SEQ Tabulka \* ARABIC </w:instrText>
      </w:r>
      <w:r w:rsidRPr="00923D98">
        <w:rPr>
          <w:rFonts w:asciiTheme="minorHAnsi" w:hAnsiTheme="minorHAnsi" w:cstheme="minorHAnsi"/>
        </w:rPr>
        <w:fldChar w:fldCharType="separate"/>
      </w:r>
      <w:r w:rsidRPr="00923D98">
        <w:rPr>
          <w:rFonts w:asciiTheme="minorHAnsi" w:hAnsiTheme="minorHAnsi" w:cstheme="minorHAnsi"/>
        </w:rPr>
        <w:t>5</w:t>
      </w:r>
      <w:r w:rsidRPr="00923D98">
        <w:rPr>
          <w:rFonts w:asciiTheme="minorHAnsi" w:hAnsiTheme="minorHAnsi" w:cstheme="minorHAnsi"/>
        </w:rPr>
        <w:fldChar w:fldCharType="end"/>
      </w:r>
      <w:r w:rsidRPr="00923D98">
        <w:rPr>
          <w:rFonts w:asciiTheme="minorHAnsi" w:hAnsiTheme="minorHAnsi" w:cstheme="minorHAnsi"/>
        </w:rPr>
        <w:t xml:space="preserve"> Základní komunikační plán</w:t>
      </w:r>
      <w:bookmarkEnd w:id="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415"/>
        <w:gridCol w:w="1350"/>
        <w:gridCol w:w="1401"/>
        <w:gridCol w:w="1299"/>
        <w:gridCol w:w="1522"/>
        <w:gridCol w:w="1083"/>
        <w:gridCol w:w="992"/>
      </w:tblGrid>
      <w:tr w14:paraId="107A5567" w14:textId="77777777" w:rsidTr="00D246B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1264"/>
        </w:trPr>
        <w:tc>
          <w:tcPr>
            <w:tcW w:w="831" w:type="pct"/>
            <w:tcBorders>
              <w:top w:val="single" w:sz="4" w:space="0" w:color="auto"/>
              <w:left w:val="single" w:sz="4" w:space="0" w:color="auto"/>
              <w:bottom w:val="single" w:sz="4" w:space="0" w:color="auto"/>
              <w:right w:val="single" w:sz="4" w:space="0" w:color="auto"/>
            </w:tcBorders>
            <w:hideMark/>
          </w:tcPr>
          <w:p w:rsidR="004E1D76" w:rsidRPr="00923D98" w:rsidP="00214782" w14:paraId="57F826F6" w14:textId="77777777">
            <w:pPr>
              <w:rPr>
                <w:rFonts w:asciiTheme="minorHAnsi" w:hAnsiTheme="minorHAnsi" w:cstheme="minorHAnsi"/>
                <w:b/>
                <w:color w:val="000000" w:themeColor="text1"/>
                <w:sz w:val="22"/>
                <w:szCs w:val="22"/>
              </w:rPr>
            </w:pPr>
            <w:r w:rsidRPr="00923D98">
              <w:rPr>
                <w:rFonts w:asciiTheme="minorHAnsi" w:hAnsiTheme="minorHAnsi" w:cstheme="minorHAnsi"/>
                <w:b/>
                <w:color w:val="000000" w:themeColor="text1"/>
                <w:sz w:val="22"/>
                <w:szCs w:val="22"/>
              </w:rPr>
              <w:t>Název aktivity</w:t>
            </w:r>
          </w:p>
        </w:tc>
        <w:tc>
          <w:tcPr>
            <w:tcW w:w="669" w:type="pct"/>
            <w:tcBorders>
              <w:top w:val="single" w:sz="4" w:space="0" w:color="auto"/>
              <w:left w:val="single" w:sz="4" w:space="0" w:color="auto"/>
              <w:bottom w:val="single" w:sz="4" w:space="0" w:color="auto"/>
              <w:right w:val="single" w:sz="4" w:space="0" w:color="auto"/>
            </w:tcBorders>
            <w:hideMark/>
          </w:tcPr>
          <w:p w:rsidR="004E1D76" w:rsidRPr="00923D98" w:rsidP="00214782" w14:paraId="65FB82BB" w14:textId="77777777">
            <w:pPr>
              <w:rPr>
                <w:rFonts w:asciiTheme="minorHAnsi" w:hAnsiTheme="minorHAnsi" w:cstheme="minorHAnsi"/>
                <w:b/>
                <w:color w:val="000000" w:themeColor="text1"/>
                <w:sz w:val="22"/>
                <w:szCs w:val="22"/>
              </w:rPr>
            </w:pPr>
            <w:r w:rsidRPr="00923D98">
              <w:rPr>
                <w:rFonts w:asciiTheme="minorHAnsi" w:hAnsiTheme="minorHAnsi" w:cstheme="minorHAnsi"/>
                <w:b/>
                <w:color w:val="000000" w:themeColor="text1"/>
                <w:sz w:val="22"/>
                <w:szCs w:val="22"/>
              </w:rPr>
              <w:t>Popis obsahu sdělení</w:t>
            </w:r>
          </w:p>
        </w:tc>
        <w:tc>
          <w:tcPr>
            <w:tcW w:w="670" w:type="pct"/>
            <w:tcBorders>
              <w:top w:val="single" w:sz="4" w:space="0" w:color="auto"/>
              <w:left w:val="single" w:sz="4" w:space="0" w:color="auto"/>
              <w:bottom w:val="single" w:sz="4" w:space="0" w:color="auto"/>
              <w:right w:val="single" w:sz="4" w:space="0" w:color="auto"/>
            </w:tcBorders>
            <w:hideMark/>
          </w:tcPr>
          <w:p w:rsidR="004E1D76" w:rsidRPr="00923D98" w:rsidP="00214782" w14:paraId="7CD33831" w14:textId="77777777">
            <w:pPr>
              <w:rPr>
                <w:rFonts w:asciiTheme="minorHAnsi" w:hAnsiTheme="minorHAnsi" w:cstheme="minorHAnsi"/>
                <w:b/>
                <w:color w:val="000000" w:themeColor="text1"/>
                <w:sz w:val="22"/>
                <w:szCs w:val="22"/>
              </w:rPr>
            </w:pPr>
            <w:r w:rsidRPr="00923D98">
              <w:rPr>
                <w:rFonts w:asciiTheme="minorHAnsi" w:hAnsiTheme="minorHAnsi" w:cstheme="minorHAnsi"/>
                <w:b/>
                <w:color w:val="000000" w:themeColor="text1"/>
                <w:sz w:val="22"/>
                <w:szCs w:val="22"/>
              </w:rPr>
              <w:t>Cílová skupina</w:t>
            </w:r>
          </w:p>
        </w:tc>
        <w:tc>
          <w:tcPr>
            <w:tcW w:w="767" w:type="pct"/>
            <w:tcBorders>
              <w:top w:val="single" w:sz="4" w:space="0" w:color="auto"/>
              <w:left w:val="single" w:sz="4" w:space="0" w:color="auto"/>
              <w:bottom w:val="single" w:sz="4" w:space="0" w:color="auto"/>
              <w:right w:val="single" w:sz="4" w:space="0" w:color="auto"/>
            </w:tcBorders>
            <w:hideMark/>
          </w:tcPr>
          <w:p w:rsidR="004E1D76" w:rsidRPr="00923D98" w:rsidP="00214782" w14:paraId="4E1F9E18" w14:textId="77777777">
            <w:pPr>
              <w:rPr>
                <w:rFonts w:asciiTheme="minorHAnsi" w:hAnsiTheme="minorHAnsi" w:cstheme="minorHAnsi"/>
                <w:b/>
                <w:color w:val="000000" w:themeColor="text1"/>
                <w:sz w:val="22"/>
                <w:szCs w:val="22"/>
              </w:rPr>
            </w:pPr>
            <w:r w:rsidRPr="00923D98">
              <w:rPr>
                <w:rFonts w:asciiTheme="minorHAnsi" w:hAnsiTheme="minorHAnsi" w:cstheme="minorHAnsi"/>
                <w:b/>
                <w:color w:val="000000" w:themeColor="text1"/>
                <w:sz w:val="22"/>
                <w:szCs w:val="22"/>
              </w:rPr>
              <w:t>Forma sdělení</w:t>
            </w:r>
          </w:p>
        </w:tc>
        <w:tc>
          <w:tcPr>
            <w:tcW w:w="818" w:type="pct"/>
            <w:tcBorders>
              <w:top w:val="single" w:sz="4" w:space="0" w:color="auto"/>
              <w:left w:val="single" w:sz="4" w:space="0" w:color="auto"/>
              <w:bottom w:val="single" w:sz="4" w:space="0" w:color="auto"/>
              <w:right w:val="single" w:sz="4" w:space="0" w:color="auto"/>
            </w:tcBorders>
            <w:hideMark/>
          </w:tcPr>
          <w:p w:rsidR="004E1D76" w:rsidRPr="00923D98" w:rsidP="00214782" w14:paraId="2E00E6F2" w14:textId="77777777">
            <w:pPr>
              <w:rPr>
                <w:rFonts w:asciiTheme="minorHAnsi" w:hAnsiTheme="minorHAnsi" w:cstheme="minorHAnsi"/>
                <w:b/>
                <w:color w:val="000000" w:themeColor="text1"/>
                <w:sz w:val="22"/>
                <w:szCs w:val="22"/>
              </w:rPr>
            </w:pPr>
            <w:r w:rsidRPr="00923D98">
              <w:rPr>
                <w:rFonts w:asciiTheme="minorHAnsi" w:hAnsiTheme="minorHAnsi" w:cstheme="minorHAnsi"/>
                <w:b/>
                <w:color w:val="000000" w:themeColor="text1"/>
                <w:sz w:val="22"/>
                <w:szCs w:val="22"/>
              </w:rPr>
              <w:t xml:space="preserve">Předpokládaná doba realizace </w:t>
            </w:r>
          </w:p>
        </w:tc>
        <w:tc>
          <w:tcPr>
            <w:tcW w:w="647" w:type="pct"/>
            <w:tcBorders>
              <w:top w:val="single" w:sz="4" w:space="0" w:color="auto"/>
              <w:left w:val="single" w:sz="4" w:space="0" w:color="auto"/>
              <w:bottom w:val="single" w:sz="4" w:space="0" w:color="auto"/>
              <w:right w:val="single" w:sz="4" w:space="0" w:color="auto"/>
            </w:tcBorders>
            <w:hideMark/>
          </w:tcPr>
          <w:p w:rsidR="004E1D76" w:rsidRPr="00923D98" w:rsidP="00214782" w14:paraId="73A89ECA" w14:textId="77777777">
            <w:pPr>
              <w:rPr>
                <w:rFonts w:asciiTheme="minorHAnsi" w:hAnsiTheme="minorHAnsi" w:cstheme="minorHAnsi"/>
                <w:b/>
                <w:color w:val="000000" w:themeColor="text1"/>
                <w:sz w:val="22"/>
                <w:szCs w:val="22"/>
              </w:rPr>
            </w:pPr>
            <w:r w:rsidRPr="00923D98">
              <w:rPr>
                <w:rFonts w:asciiTheme="minorHAnsi" w:hAnsiTheme="minorHAnsi" w:cstheme="minorHAnsi"/>
                <w:b/>
                <w:color w:val="000000" w:themeColor="text1"/>
                <w:sz w:val="22"/>
                <w:szCs w:val="22"/>
              </w:rPr>
              <w:t>Realizátor</w:t>
            </w:r>
          </w:p>
        </w:tc>
        <w:tc>
          <w:tcPr>
            <w:tcW w:w="597" w:type="pct"/>
            <w:tcBorders>
              <w:top w:val="single" w:sz="4" w:space="0" w:color="auto"/>
              <w:left w:val="single" w:sz="4" w:space="0" w:color="auto"/>
              <w:bottom w:val="single" w:sz="4" w:space="0" w:color="auto"/>
              <w:right w:val="single" w:sz="4" w:space="0" w:color="auto"/>
            </w:tcBorders>
            <w:hideMark/>
          </w:tcPr>
          <w:p w:rsidR="004E1D76" w:rsidRPr="00923D98" w:rsidP="00214782" w14:paraId="26E09329" w14:textId="77777777">
            <w:pPr>
              <w:rPr>
                <w:rFonts w:asciiTheme="minorHAnsi" w:hAnsiTheme="minorHAnsi" w:cstheme="minorHAnsi"/>
                <w:b/>
                <w:color w:val="000000" w:themeColor="text1"/>
                <w:sz w:val="22"/>
                <w:szCs w:val="22"/>
              </w:rPr>
            </w:pPr>
            <w:r w:rsidRPr="00923D98">
              <w:rPr>
                <w:rFonts w:asciiTheme="minorHAnsi" w:hAnsiTheme="minorHAnsi" w:cstheme="minorHAnsi"/>
                <w:b/>
                <w:color w:val="000000" w:themeColor="text1"/>
                <w:sz w:val="22"/>
                <w:szCs w:val="22"/>
              </w:rPr>
              <w:t>Garant</w:t>
            </w:r>
          </w:p>
        </w:tc>
      </w:tr>
      <w:tr w14:paraId="4CC7300D" w14:textId="77777777" w:rsidTr="00D246B2">
        <w:tblPrEx>
          <w:tblW w:w="5000" w:type="pct"/>
          <w:tblCellMar>
            <w:left w:w="70" w:type="dxa"/>
            <w:right w:w="70" w:type="dxa"/>
          </w:tblCellMar>
          <w:tblLook w:val="04A0"/>
        </w:tblPrEx>
        <w:trPr>
          <w:trHeight w:val="1320"/>
        </w:trPr>
        <w:tc>
          <w:tcPr>
            <w:tcW w:w="831" w:type="pct"/>
            <w:tcBorders>
              <w:top w:val="single" w:sz="4" w:space="0" w:color="auto"/>
              <w:left w:val="single" w:sz="4" w:space="0" w:color="auto"/>
              <w:bottom w:val="single" w:sz="4" w:space="0" w:color="auto"/>
              <w:right w:val="single" w:sz="4" w:space="0" w:color="auto"/>
            </w:tcBorders>
            <w:hideMark/>
          </w:tcPr>
          <w:p w:rsidR="004E1D76" w:rsidRPr="00923D98" w:rsidP="00214782" w14:paraId="653181D5" w14:textId="52A5ABDA">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Pracovní setkání a o</w:t>
            </w:r>
            <w:r w:rsidRPr="00923D98">
              <w:rPr>
                <w:rFonts w:asciiTheme="minorHAnsi" w:hAnsiTheme="minorHAnsi" w:cstheme="minorHAnsi"/>
                <w:color w:val="000000" w:themeColor="text1"/>
                <w:sz w:val="22"/>
                <w:szCs w:val="22"/>
              </w:rPr>
              <w:t>dborné kulaté stoly na téma řešených dílčích cílů/opatření</w:t>
            </w:r>
          </w:p>
        </w:tc>
        <w:tc>
          <w:tcPr>
            <w:tcW w:w="669" w:type="pct"/>
            <w:tcBorders>
              <w:top w:val="single" w:sz="4" w:space="0" w:color="auto"/>
              <w:left w:val="single" w:sz="4" w:space="0" w:color="auto"/>
              <w:bottom w:val="single" w:sz="4" w:space="0" w:color="auto"/>
              <w:right w:val="single" w:sz="4" w:space="0" w:color="auto"/>
            </w:tcBorders>
            <w:hideMark/>
          </w:tcPr>
          <w:p w:rsidR="004E1D76" w:rsidRPr="00923D98" w:rsidP="00214782" w14:paraId="374EAD9C"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Odborné sdělení spojené s diskusí či kritickým zhodnocením dané problematiky</w:t>
            </w:r>
          </w:p>
        </w:tc>
        <w:tc>
          <w:tcPr>
            <w:tcW w:w="670" w:type="pct"/>
            <w:tcBorders>
              <w:top w:val="single" w:sz="4" w:space="0" w:color="auto"/>
              <w:left w:val="single" w:sz="4" w:space="0" w:color="auto"/>
              <w:bottom w:val="single" w:sz="4" w:space="0" w:color="auto"/>
              <w:right w:val="single" w:sz="4" w:space="0" w:color="auto"/>
            </w:tcBorders>
          </w:tcPr>
          <w:p w:rsidR="004E1D76" w:rsidRPr="00923D98" w:rsidP="00214782" w14:paraId="6066FC5B" w14:textId="0DA9737B">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Odborná veřejnost, zástupci poskytovatelů zdravotní péče, pracovníci MZ</w:t>
            </w:r>
            <w:r w:rsidR="00702C2A">
              <w:rPr>
                <w:rFonts w:asciiTheme="minorHAnsi" w:hAnsiTheme="minorHAnsi" w:cstheme="minorHAnsi"/>
                <w:color w:val="000000" w:themeColor="text1"/>
                <w:sz w:val="22"/>
                <w:szCs w:val="22"/>
              </w:rPr>
              <w:t>D</w:t>
            </w:r>
            <w:r w:rsidRPr="00923D98">
              <w:rPr>
                <w:rFonts w:asciiTheme="minorHAnsi" w:hAnsiTheme="minorHAnsi" w:cstheme="minorHAnsi"/>
                <w:color w:val="000000" w:themeColor="text1"/>
                <w:sz w:val="22"/>
                <w:szCs w:val="22"/>
              </w:rPr>
              <w:t>, zdravotní pojišťovny, územní samosprávné celky, profesní komory, další ústřední orgány státní správy</w:t>
            </w:r>
          </w:p>
          <w:p w:rsidR="004E1D76" w:rsidRPr="00923D98" w:rsidP="00214782" w14:paraId="69EC2239" w14:textId="77777777">
            <w:pPr>
              <w:rPr>
                <w:rFonts w:asciiTheme="minorHAnsi" w:hAnsiTheme="minorHAnsi" w:cstheme="minorHAnsi"/>
                <w:color w:val="000000" w:themeColor="text1"/>
                <w:sz w:val="22"/>
                <w:szCs w:val="22"/>
              </w:rPr>
            </w:pPr>
          </w:p>
        </w:tc>
        <w:tc>
          <w:tcPr>
            <w:tcW w:w="767" w:type="pct"/>
            <w:tcBorders>
              <w:top w:val="single" w:sz="4" w:space="0" w:color="auto"/>
              <w:left w:val="single" w:sz="4" w:space="0" w:color="auto"/>
              <w:bottom w:val="single" w:sz="4" w:space="0" w:color="auto"/>
              <w:right w:val="single" w:sz="4" w:space="0" w:color="auto"/>
            </w:tcBorders>
            <w:hideMark/>
          </w:tcPr>
          <w:p w:rsidR="004E1D76" w:rsidRPr="00923D98" w:rsidP="00214782" w14:paraId="22E9C584"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K</w:t>
            </w:r>
            <w:r w:rsidRPr="00923D98">
              <w:rPr>
                <w:rFonts w:asciiTheme="minorHAnsi" w:hAnsiTheme="minorHAnsi" w:cstheme="minorHAnsi"/>
                <w:color w:val="000000" w:themeColor="text1"/>
                <w:sz w:val="22"/>
                <w:szCs w:val="22"/>
              </w:rPr>
              <w:t xml:space="preserve">onference, semináře, kulaté stoly </w:t>
            </w:r>
          </w:p>
        </w:tc>
        <w:tc>
          <w:tcPr>
            <w:tcW w:w="818" w:type="pct"/>
            <w:tcBorders>
              <w:top w:val="single" w:sz="4" w:space="0" w:color="auto"/>
              <w:left w:val="single" w:sz="4" w:space="0" w:color="auto"/>
              <w:bottom w:val="single" w:sz="4" w:space="0" w:color="auto"/>
              <w:right w:val="single" w:sz="4" w:space="0" w:color="auto"/>
            </w:tcBorders>
            <w:hideMark/>
          </w:tcPr>
          <w:p w:rsidR="004E1D76" w:rsidRPr="00923D98" w:rsidP="00214782" w14:paraId="7D4B2680"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Každoročně cca 1-3 akce</w:t>
            </w:r>
          </w:p>
        </w:tc>
        <w:tc>
          <w:tcPr>
            <w:tcW w:w="647" w:type="pct"/>
            <w:tcBorders>
              <w:top w:val="single" w:sz="4" w:space="0" w:color="auto"/>
              <w:left w:val="single" w:sz="4" w:space="0" w:color="auto"/>
              <w:bottom w:val="single" w:sz="4" w:space="0" w:color="auto"/>
              <w:right w:val="single" w:sz="4" w:space="0" w:color="auto"/>
            </w:tcBorders>
            <w:hideMark/>
          </w:tcPr>
          <w:p w:rsidR="004E1D76" w:rsidRPr="00923D98" w:rsidP="00214782" w14:paraId="4710FCA1" w14:textId="7D095479">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MZ</w:t>
            </w:r>
            <w:r w:rsidRPr="00923D98" w:rsidR="00385ECD">
              <w:rPr>
                <w:rFonts w:asciiTheme="minorHAnsi" w:hAnsiTheme="minorHAnsi" w:cstheme="minorHAnsi"/>
                <w:color w:val="000000" w:themeColor="text1"/>
                <w:sz w:val="22"/>
                <w:szCs w:val="22"/>
              </w:rPr>
              <w:t>D</w:t>
            </w:r>
          </w:p>
        </w:tc>
        <w:tc>
          <w:tcPr>
            <w:tcW w:w="597" w:type="pct"/>
            <w:tcBorders>
              <w:top w:val="single" w:sz="4" w:space="0" w:color="auto"/>
              <w:left w:val="single" w:sz="4" w:space="0" w:color="auto"/>
              <w:bottom w:val="single" w:sz="4" w:space="0" w:color="auto"/>
              <w:right w:val="single" w:sz="4" w:space="0" w:color="auto"/>
            </w:tcBorders>
            <w:hideMark/>
          </w:tcPr>
          <w:p w:rsidR="004E1D76" w:rsidRPr="00923D98" w:rsidP="00214782" w14:paraId="71B87757" w14:textId="4D1BC2F6">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NAM 1</w:t>
            </w:r>
          </w:p>
        </w:tc>
      </w:tr>
      <w:tr w14:paraId="43606023" w14:textId="77777777" w:rsidTr="00D246B2">
        <w:tblPrEx>
          <w:tblW w:w="5000" w:type="pct"/>
          <w:tblCellMar>
            <w:left w:w="70" w:type="dxa"/>
            <w:right w:w="70" w:type="dxa"/>
          </w:tblCellMar>
          <w:tblLook w:val="04A0"/>
        </w:tblPrEx>
        <w:trPr>
          <w:trHeight w:val="1320"/>
        </w:trPr>
        <w:tc>
          <w:tcPr>
            <w:tcW w:w="831" w:type="pct"/>
            <w:tcBorders>
              <w:top w:val="single" w:sz="4" w:space="0" w:color="auto"/>
              <w:left w:val="single" w:sz="4" w:space="0" w:color="auto"/>
              <w:bottom w:val="single" w:sz="4" w:space="0" w:color="auto"/>
              <w:right w:val="single" w:sz="4" w:space="0" w:color="auto"/>
            </w:tcBorders>
          </w:tcPr>
          <w:p w:rsidR="00216AE1" w:rsidRPr="00923D98" w:rsidP="00214782" w14:paraId="54A33265" w14:textId="715DE9A2">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 xml:space="preserve">Publikace </w:t>
            </w:r>
            <w:r w:rsidRPr="00923D98" w:rsidR="00C92072">
              <w:rPr>
                <w:rFonts w:asciiTheme="minorHAnsi" w:hAnsiTheme="minorHAnsi" w:cstheme="minorHAnsi"/>
                <w:color w:val="000000" w:themeColor="text1"/>
                <w:sz w:val="22"/>
                <w:szCs w:val="22"/>
              </w:rPr>
              <w:t>informací o změnách a dopadech pro odbornou i laickou veřejnost</w:t>
            </w:r>
          </w:p>
        </w:tc>
        <w:tc>
          <w:tcPr>
            <w:tcW w:w="669" w:type="pct"/>
            <w:tcBorders>
              <w:top w:val="single" w:sz="4" w:space="0" w:color="auto"/>
              <w:left w:val="single" w:sz="4" w:space="0" w:color="auto"/>
              <w:bottom w:val="single" w:sz="4" w:space="0" w:color="auto"/>
              <w:right w:val="single" w:sz="4" w:space="0" w:color="auto"/>
            </w:tcBorders>
          </w:tcPr>
          <w:p w:rsidR="00216AE1" w:rsidRPr="00923D98" w:rsidP="00214782" w14:paraId="13D121C7" w14:textId="77777777">
            <w:pPr>
              <w:rPr>
                <w:rFonts w:asciiTheme="minorHAnsi" w:hAnsiTheme="minorHAnsi" w:cstheme="minorHAnsi"/>
                <w:color w:val="000000" w:themeColor="text1"/>
                <w:sz w:val="22"/>
                <w:szCs w:val="22"/>
              </w:rPr>
            </w:pPr>
          </w:p>
        </w:tc>
        <w:tc>
          <w:tcPr>
            <w:tcW w:w="670" w:type="pct"/>
            <w:tcBorders>
              <w:top w:val="single" w:sz="4" w:space="0" w:color="auto"/>
              <w:left w:val="single" w:sz="4" w:space="0" w:color="auto"/>
              <w:bottom w:val="single" w:sz="4" w:space="0" w:color="auto"/>
              <w:right w:val="single" w:sz="4" w:space="0" w:color="auto"/>
            </w:tcBorders>
          </w:tcPr>
          <w:p w:rsidR="00216AE1" w:rsidRPr="00923D98" w:rsidP="00214782" w14:paraId="59097940" w14:textId="662ABA83">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Odborná i laická veřejnost</w:t>
            </w:r>
          </w:p>
        </w:tc>
        <w:tc>
          <w:tcPr>
            <w:tcW w:w="767" w:type="pct"/>
            <w:tcBorders>
              <w:top w:val="single" w:sz="4" w:space="0" w:color="auto"/>
              <w:left w:val="single" w:sz="4" w:space="0" w:color="auto"/>
              <w:bottom w:val="single" w:sz="4" w:space="0" w:color="auto"/>
              <w:right w:val="single" w:sz="4" w:space="0" w:color="auto"/>
            </w:tcBorders>
          </w:tcPr>
          <w:p w:rsidR="00216AE1" w:rsidRPr="00923D98" w:rsidP="00214782" w14:paraId="4A03B030"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Webové stránky MZD</w:t>
            </w:r>
            <w:r w:rsidRPr="00923D98">
              <w:rPr>
                <w:rFonts w:asciiTheme="minorHAnsi" w:hAnsiTheme="minorHAnsi" w:cstheme="minorHAnsi"/>
                <w:color w:val="000000" w:themeColor="text1"/>
                <w:sz w:val="22"/>
                <w:szCs w:val="22"/>
              </w:rPr>
              <w:br/>
              <w:t>Sociální sítě MZD</w:t>
            </w:r>
          </w:p>
          <w:p w:rsidR="001B462F" w:rsidRPr="00923D98" w:rsidP="00214782" w14:paraId="463D69C8"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Webové stránky SÚKL</w:t>
            </w:r>
          </w:p>
          <w:p w:rsidR="001B462F" w:rsidRPr="00923D98" w:rsidP="00214782" w14:paraId="5B7D81A9" w14:textId="424D05DB">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NZIP</w:t>
            </w:r>
          </w:p>
        </w:tc>
        <w:tc>
          <w:tcPr>
            <w:tcW w:w="818" w:type="pct"/>
            <w:tcBorders>
              <w:top w:val="single" w:sz="4" w:space="0" w:color="auto"/>
              <w:left w:val="single" w:sz="4" w:space="0" w:color="auto"/>
              <w:bottom w:val="single" w:sz="4" w:space="0" w:color="auto"/>
              <w:right w:val="single" w:sz="4" w:space="0" w:color="auto"/>
            </w:tcBorders>
          </w:tcPr>
          <w:p w:rsidR="00216AE1" w:rsidRPr="00923D98" w:rsidP="00214782" w14:paraId="78E4226F" w14:textId="1482729C">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průběžně</w:t>
            </w:r>
          </w:p>
        </w:tc>
        <w:tc>
          <w:tcPr>
            <w:tcW w:w="647" w:type="pct"/>
            <w:tcBorders>
              <w:top w:val="single" w:sz="4" w:space="0" w:color="auto"/>
              <w:left w:val="single" w:sz="4" w:space="0" w:color="auto"/>
              <w:bottom w:val="single" w:sz="4" w:space="0" w:color="auto"/>
              <w:right w:val="single" w:sz="4" w:space="0" w:color="auto"/>
            </w:tcBorders>
          </w:tcPr>
          <w:p w:rsidR="00216AE1" w:rsidRPr="00923D98" w:rsidP="00214782" w14:paraId="6D7691E2"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MZD</w:t>
            </w:r>
          </w:p>
          <w:p w:rsidR="003E48F6" w:rsidRPr="00923D98" w:rsidP="00214782" w14:paraId="077FF5D5" w14:textId="77777777">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SÚKL</w:t>
            </w:r>
          </w:p>
          <w:p w:rsidR="003E48F6" w:rsidRPr="00923D98" w:rsidP="00214782" w14:paraId="6309E7B2" w14:textId="23C5EAC5">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ÚZIS</w:t>
            </w:r>
          </w:p>
        </w:tc>
        <w:tc>
          <w:tcPr>
            <w:tcW w:w="597" w:type="pct"/>
            <w:tcBorders>
              <w:top w:val="single" w:sz="4" w:space="0" w:color="auto"/>
              <w:left w:val="single" w:sz="4" w:space="0" w:color="auto"/>
              <w:bottom w:val="single" w:sz="4" w:space="0" w:color="auto"/>
              <w:right w:val="single" w:sz="4" w:space="0" w:color="auto"/>
            </w:tcBorders>
          </w:tcPr>
          <w:p w:rsidR="00216AE1" w:rsidRPr="00923D98" w:rsidP="00214782" w14:paraId="0E0A7CBF" w14:textId="67DA2B32">
            <w:pPr>
              <w:rPr>
                <w:rFonts w:asciiTheme="minorHAnsi" w:hAnsiTheme="minorHAnsi" w:cstheme="minorHAnsi"/>
                <w:color w:val="000000" w:themeColor="text1"/>
                <w:sz w:val="22"/>
                <w:szCs w:val="22"/>
              </w:rPr>
            </w:pPr>
            <w:r w:rsidRPr="00923D98">
              <w:rPr>
                <w:rFonts w:asciiTheme="minorHAnsi" w:hAnsiTheme="minorHAnsi" w:cstheme="minorHAnsi"/>
                <w:color w:val="000000" w:themeColor="text1"/>
                <w:sz w:val="22"/>
                <w:szCs w:val="22"/>
              </w:rPr>
              <w:t>NAM 1</w:t>
            </w:r>
          </w:p>
        </w:tc>
      </w:tr>
    </w:tbl>
    <w:p w:rsidR="00960C9E" w:rsidRPr="00923D98" w:rsidP="00960C9E" w14:paraId="52B26CF6" w14:textId="2F77F22E">
      <w:pPr>
        <w:autoSpaceDE w:val="0"/>
        <w:autoSpaceDN w:val="0"/>
        <w:adjustRightInd w:val="0"/>
        <w:jc w:val="both"/>
        <w:rPr>
          <w:rFonts w:asciiTheme="minorHAnsi" w:hAnsiTheme="minorHAnsi" w:cstheme="minorHAnsi"/>
          <w:color w:val="000000" w:themeColor="text1"/>
          <w:sz w:val="20"/>
          <w:szCs w:val="20"/>
        </w:rPr>
      </w:pPr>
      <w:r w:rsidRPr="00923D98">
        <w:rPr>
          <w:rFonts w:asciiTheme="minorHAnsi" w:hAnsiTheme="minorHAnsi" w:cstheme="minorHAnsi"/>
          <w:color w:val="000000" w:themeColor="text1"/>
          <w:sz w:val="20"/>
          <w:szCs w:val="20"/>
        </w:rPr>
        <w:t>Zdroj: vlastní zpracování</w:t>
      </w:r>
    </w:p>
    <w:p w:rsidR="004E1D76" w:rsidRPr="00923D98" w:rsidP="004E1D76" w14:paraId="4CFB7AE1" w14:textId="77777777">
      <w:pPr>
        <w:rPr>
          <w:rFonts w:asciiTheme="minorHAnsi" w:hAnsiTheme="minorHAnsi" w:cstheme="minorHAnsi"/>
          <w:color w:val="000000" w:themeColor="text1"/>
        </w:rPr>
      </w:pPr>
    </w:p>
    <w:p w:rsidR="00D22B8D" w:rsidRPr="00923D98" w:rsidP="00427963" w14:paraId="0C284003" w14:textId="1ED97F21">
      <w:pPr>
        <w:rPr>
          <w:rFonts w:asciiTheme="minorHAnsi" w:hAnsiTheme="minorHAnsi" w:cstheme="minorHAnsi"/>
          <w:color w:val="000000" w:themeColor="text1"/>
        </w:rPr>
      </w:pPr>
      <w:r w:rsidRPr="00923D98">
        <w:rPr>
          <w:rFonts w:asciiTheme="minorHAnsi" w:hAnsiTheme="minorHAnsi" w:cstheme="minorHAnsi"/>
          <w:color w:val="000000" w:themeColor="text1"/>
        </w:rPr>
        <w:br w:type="page"/>
      </w:r>
    </w:p>
    <w:p w:rsidR="00D22B8D" w:rsidRPr="00923D98" w:rsidP="00D22B8D" w14:paraId="7F2C753F" w14:textId="77777777">
      <w:pPr>
        <w:pStyle w:val="Bntext"/>
        <w:spacing w:before="0" w:after="0"/>
        <w:ind w:firstLine="0"/>
        <w:rPr>
          <w:rFonts w:asciiTheme="minorHAnsi" w:hAnsiTheme="minorHAnsi" w:cstheme="minorHAnsi"/>
          <w:sz w:val="24"/>
          <w:lang w:val="cs-CZ"/>
        </w:rPr>
      </w:pPr>
    </w:p>
    <w:p w:rsidR="00D22B8D" w:rsidRPr="00923D98" w:rsidP="00D22B8D" w14:paraId="679B00FF" w14:textId="77777777">
      <w:pPr>
        <w:pStyle w:val="Bntext"/>
        <w:spacing w:before="0" w:after="0"/>
        <w:ind w:firstLine="0"/>
        <w:rPr>
          <w:rFonts w:asciiTheme="minorHAnsi" w:hAnsiTheme="minorHAnsi" w:cstheme="minorHAnsi"/>
          <w:b/>
          <w:sz w:val="24"/>
          <w:lang w:val="cs-CZ"/>
        </w:rPr>
      </w:pPr>
      <w:r w:rsidRPr="00923D98">
        <w:rPr>
          <w:rFonts w:asciiTheme="minorHAnsi" w:hAnsiTheme="minorHAnsi" w:cstheme="minorHAnsi"/>
          <w:b/>
          <w:sz w:val="24"/>
          <w:lang w:val="cs-CZ"/>
        </w:rPr>
        <w:t>Seznam zkratek</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843"/>
        <w:gridCol w:w="7229"/>
      </w:tblGrid>
      <w:tr w14:paraId="24B26EB6" w14:textId="77777777" w:rsidTr="00F06F14">
        <w:tblPrEx>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14BF8912"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AZV</w:t>
            </w:r>
          </w:p>
        </w:tc>
        <w:tc>
          <w:tcPr>
            <w:tcW w:w="7229" w:type="dxa"/>
            <w:shd w:val="clear" w:color="auto" w:fill="auto"/>
            <w:noWrap/>
            <w:vAlign w:val="bottom"/>
            <w:hideMark/>
          </w:tcPr>
          <w:p w:rsidR="001144B6" w:rsidRPr="00923D98" w:rsidP="00F06F14" w14:paraId="12FA3AE7"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 xml:space="preserve">Agentura pro zdravotnický výzkum </w:t>
            </w:r>
          </w:p>
        </w:tc>
      </w:tr>
      <w:tr w14:paraId="05926332"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6C4DF7D5"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ČlNK</w:t>
            </w:r>
          </w:p>
        </w:tc>
        <w:tc>
          <w:tcPr>
            <w:tcW w:w="7229" w:type="dxa"/>
            <w:shd w:val="clear" w:color="auto" w:fill="auto"/>
            <w:noWrap/>
            <w:vAlign w:val="bottom"/>
          </w:tcPr>
          <w:p w:rsidR="001144B6" w:rsidRPr="00923D98" w:rsidP="00F06F14" w14:paraId="06299DAB"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Česká lékárnická komora</w:t>
            </w:r>
          </w:p>
        </w:tc>
      </w:tr>
      <w:tr w14:paraId="6AB7246E" w14:textId="77777777" w:rsidTr="00F06F14">
        <w:tblPrEx>
          <w:tblW w:w="9072" w:type="dxa"/>
          <w:tblCellMar>
            <w:left w:w="70" w:type="dxa"/>
            <w:right w:w="70" w:type="dxa"/>
          </w:tblCellMar>
          <w:tblLook w:val="04A0"/>
        </w:tblPrEx>
        <w:trPr>
          <w:trHeight w:val="315"/>
        </w:trPr>
        <w:tc>
          <w:tcPr>
            <w:tcW w:w="1843" w:type="dxa"/>
            <w:shd w:val="clear" w:color="auto" w:fill="auto"/>
            <w:noWrap/>
            <w:vAlign w:val="bottom"/>
            <w:hideMark/>
          </w:tcPr>
          <w:p w:rsidR="001144B6" w:rsidRPr="00923D98" w:rsidP="00F06F14" w14:paraId="5BF41FDF"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ČLS JEP</w:t>
            </w:r>
          </w:p>
        </w:tc>
        <w:tc>
          <w:tcPr>
            <w:tcW w:w="7229" w:type="dxa"/>
            <w:shd w:val="clear" w:color="auto" w:fill="auto"/>
            <w:noWrap/>
            <w:vAlign w:val="bottom"/>
            <w:hideMark/>
          </w:tcPr>
          <w:p w:rsidR="001144B6" w:rsidRPr="00923D98" w:rsidP="00F06F14" w14:paraId="3F779C62"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 xml:space="preserve">Česká lékařská společnost Jana Evangelisty Purkyně </w:t>
            </w:r>
          </w:p>
        </w:tc>
      </w:tr>
      <w:tr w14:paraId="78F970C7"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0EFD7F15"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ČR</w:t>
            </w:r>
          </w:p>
        </w:tc>
        <w:tc>
          <w:tcPr>
            <w:tcW w:w="7229" w:type="dxa"/>
            <w:shd w:val="clear" w:color="auto" w:fill="auto"/>
            <w:noWrap/>
            <w:vAlign w:val="bottom"/>
            <w:hideMark/>
          </w:tcPr>
          <w:p w:rsidR="001144B6" w:rsidRPr="00923D98" w:rsidP="00F06F14" w14:paraId="2E010A6B"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Česká republika</w:t>
            </w:r>
          </w:p>
        </w:tc>
      </w:tr>
      <w:tr w14:paraId="1F71AD39"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14686E31"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DC</w:t>
            </w:r>
          </w:p>
        </w:tc>
        <w:tc>
          <w:tcPr>
            <w:tcW w:w="7229" w:type="dxa"/>
            <w:shd w:val="clear" w:color="auto" w:fill="auto"/>
            <w:noWrap/>
            <w:vAlign w:val="bottom"/>
            <w:hideMark/>
          </w:tcPr>
          <w:p w:rsidR="001144B6" w:rsidRPr="00923D98" w:rsidP="00F06F14" w14:paraId="055816DC"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Dílčí cíl</w:t>
            </w:r>
          </w:p>
        </w:tc>
      </w:tr>
      <w:tr w14:paraId="4F0334EF"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670F1921"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EHP</w:t>
            </w:r>
          </w:p>
        </w:tc>
        <w:tc>
          <w:tcPr>
            <w:tcW w:w="7229" w:type="dxa"/>
            <w:shd w:val="clear" w:color="auto" w:fill="auto"/>
            <w:noWrap/>
            <w:vAlign w:val="bottom"/>
            <w:hideMark/>
          </w:tcPr>
          <w:p w:rsidR="001144B6" w:rsidRPr="00923D98" w:rsidP="00F06F14" w14:paraId="4943F462"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Evropský hospodářský prostor</w:t>
            </w:r>
          </w:p>
        </w:tc>
      </w:tr>
      <w:tr w14:paraId="66AFBB15"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49128CCA"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EU</w:t>
            </w:r>
          </w:p>
        </w:tc>
        <w:tc>
          <w:tcPr>
            <w:tcW w:w="7229" w:type="dxa"/>
            <w:shd w:val="clear" w:color="auto" w:fill="auto"/>
            <w:noWrap/>
            <w:vAlign w:val="bottom"/>
            <w:hideMark/>
          </w:tcPr>
          <w:p w:rsidR="001144B6" w:rsidRPr="00923D98" w:rsidP="00F06F14" w14:paraId="67B004A9"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Evropská unie</w:t>
            </w:r>
          </w:p>
        </w:tc>
      </w:tr>
      <w:tr w14:paraId="33DE57E1"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7EA8FFD9"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HH</w:t>
            </w:r>
          </w:p>
        </w:tc>
        <w:tc>
          <w:tcPr>
            <w:tcW w:w="7229" w:type="dxa"/>
            <w:shd w:val="clear" w:color="auto" w:fill="auto"/>
            <w:noWrap/>
            <w:vAlign w:val="bottom"/>
            <w:hideMark/>
          </w:tcPr>
          <w:p w:rsidR="001144B6" w:rsidRPr="00923D98" w:rsidP="00F06F14" w14:paraId="346C2543"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Hlavní hygienik ČR</w:t>
            </w:r>
          </w:p>
        </w:tc>
      </w:tr>
      <w:tr w14:paraId="5FB61CDF"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73DE12B9"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 xml:space="preserve">IP </w:t>
            </w:r>
          </w:p>
        </w:tc>
        <w:tc>
          <w:tcPr>
            <w:tcW w:w="7229" w:type="dxa"/>
            <w:shd w:val="clear" w:color="auto" w:fill="auto"/>
            <w:noWrap/>
            <w:vAlign w:val="bottom"/>
            <w:hideMark/>
          </w:tcPr>
          <w:p w:rsidR="001144B6" w:rsidRPr="00923D98" w:rsidP="00F06F14" w14:paraId="2981480E"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Implementační plán</w:t>
            </w:r>
          </w:p>
        </w:tc>
      </w:tr>
      <w:tr w14:paraId="1CDC0F81"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687E8468"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ISIN</w:t>
            </w:r>
          </w:p>
        </w:tc>
        <w:tc>
          <w:tcPr>
            <w:tcW w:w="7229" w:type="dxa"/>
            <w:shd w:val="clear" w:color="auto" w:fill="auto"/>
            <w:noWrap/>
            <w:vAlign w:val="bottom"/>
            <w:hideMark/>
          </w:tcPr>
          <w:p w:rsidR="001144B6" w:rsidRPr="00923D98" w:rsidP="00F06F14" w14:paraId="58AA6B1D"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 xml:space="preserve">Informační systém infekčních nemocí </w:t>
            </w:r>
          </w:p>
        </w:tc>
      </w:tr>
      <w:tr w14:paraId="53B8BD68"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414B84C8"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KHS</w:t>
            </w:r>
          </w:p>
        </w:tc>
        <w:tc>
          <w:tcPr>
            <w:tcW w:w="7229" w:type="dxa"/>
            <w:shd w:val="clear" w:color="auto" w:fill="auto"/>
            <w:noWrap/>
            <w:vAlign w:val="bottom"/>
            <w:hideMark/>
          </w:tcPr>
          <w:p w:rsidR="001144B6" w:rsidRPr="00923D98" w:rsidP="00F06F14" w14:paraId="0931B9FC"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Krajská hygienická stanice</w:t>
            </w:r>
          </w:p>
        </w:tc>
      </w:tr>
      <w:tr w14:paraId="4D47F6D5"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714715D8"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MAH</w:t>
            </w:r>
          </w:p>
        </w:tc>
        <w:tc>
          <w:tcPr>
            <w:tcW w:w="7229" w:type="dxa"/>
            <w:shd w:val="clear" w:color="auto" w:fill="auto"/>
            <w:noWrap/>
            <w:vAlign w:val="bottom"/>
          </w:tcPr>
          <w:p w:rsidR="001144B6" w:rsidRPr="00923D98" w:rsidP="00F06F14" w14:paraId="4F1E0238"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Držitelé rozhodnutí o registraci</w:t>
            </w:r>
          </w:p>
        </w:tc>
      </w:tr>
      <w:tr w14:paraId="19D928DF"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5CD53713"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MF</w:t>
            </w:r>
          </w:p>
        </w:tc>
        <w:tc>
          <w:tcPr>
            <w:tcW w:w="7229" w:type="dxa"/>
            <w:shd w:val="clear" w:color="auto" w:fill="auto"/>
            <w:noWrap/>
            <w:vAlign w:val="bottom"/>
            <w:hideMark/>
          </w:tcPr>
          <w:p w:rsidR="001144B6" w:rsidRPr="00923D98" w:rsidP="00F06F14" w14:paraId="7AAEAABE"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 xml:space="preserve">Ministerstvo financí </w:t>
            </w:r>
          </w:p>
        </w:tc>
      </w:tr>
      <w:tr w14:paraId="4B02C5D6"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3B01B194"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MMR</w:t>
            </w:r>
          </w:p>
        </w:tc>
        <w:tc>
          <w:tcPr>
            <w:tcW w:w="7229" w:type="dxa"/>
            <w:shd w:val="clear" w:color="auto" w:fill="auto"/>
            <w:noWrap/>
            <w:vAlign w:val="bottom"/>
            <w:hideMark/>
          </w:tcPr>
          <w:p w:rsidR="001144B6" w:rsidRPr="00923D98" w:rsidP="00F06F14" w14:paraId="4B0647F1"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Ministerstvo pro místní rozvoj</w:t>
            </w:r>
          </w:p>
        </w:tc>
      </w:tr>
      <w:tr w14:paraId="753B90E1"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446C820D"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MPO</w:t>
            </w:r>
          </w:p>
        </w:tc>
        <w:tc>
          <w:tcPr>
            <w:tcW w:w="7229" w:type="dxa"/>
            <w:shd w:val="clear" w:color="auto" w:fill="auto"/>
            <w:noWrap/>
            <w:vAlign w:val="bottom"/>
            <w:hideMark/>
          </w:tcPr>
          <w:p w:rsidR="001144B6" w:rsidRPr="00923D98" w:rsidP="00F06F14" w14:paraId="11C6085D"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 xml:space="preserve">Ministerstvo průmyslu a obchodu </w:t>
            </w:r>
          </w:p>
        </w:tc>
      </w:tr>
      <w:tr w14:paraId="08BAAAFE"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0931F151"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MV</w:t>
            </w:r>
          </w:p>
        </w:tc>
        <w:tc>
          <w:tcPr>
            <w:tcW w:w="7229" w:type="dxa"/>
            <w:shd w:val="clear" w:color="auto" w:fill="auto"/>
            <w:noWrap/>
            <w:vAlign w:val="bottom"/>
            <w:hideMark/>
          </w:tcPr>
          <w:p w:rsidR="001144B6" w:rsidRPr="00923D98" w:rsidP="00F06F14" w14:paraId="5C03615A"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Ministerstvo vnitra</w:t>
            </w:r>
          </w:p>
        </w:tc>
      </w:tr>
      <w:tr w14:paraId="534E34E4"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7C3E77F6"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MVVI</w:t>
            </w:r>
          </w:p>
        </w:tc>
        <w:tc>
          <w:tcPr>
            <w:tcW w:w="7229" w:type="dxa"/>
            <w:shd w:val="clear" w:color="auto" w:fill="auto"/>
            <w:noWrap/>
            <w:vAlign w:val="bottom"/>
          </w:tcPr>
          <w:p w:rsidR="001144B6" w:rsidRPr="00923D98" w:rsidP="00F06F14" w14:paraId="038D0039" w14:textId="1642A96F">
            <w:pPr>
              <w:rPr>
                <w:rFonts w:asciiTheme="minorHAnsi" w:hAnsiTheme="minorHAnsi" w:cstheme="minorHAnsi"/>
                <w:color w:val="000000"/>
                <w:sz w:val="22"/>
                <w:szCs w:val="22"/>
              </w:rPr>
            </w:pPr>
            <w:r w:rsidRPr="00D7735B">
              <w:rPr>
                <w:rFonts w:asciiTheme="minorHAnsi" w:hAnsiTheme="minorHAnsi" w:cstheme="minorHAnsi"/>
                <w:sz w:val="22"/>
                <w:szCs w:val="22"/>
              </w:rPr>
              <w:t>Ministr pro vědu, výzkum a inovace</w:t>
            </w:r>
          </w:p>
        </w:tc>
      </w:tr>
      <w:tr w14:paraId="730F5172"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7A4FF2C7"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MZD</w:t>
            </w:r>
          </w:p>
        </w:tc>
        <w:tc>
          <w:tcPr>
            <w:tcW w:w="7229" w:type="dxa"/>
            <w:shd w:val="clear" w:color="auto" w:fill="auto"/>
            <w:noWrap/>
            <w:vAlign w:val="bottom"/>
            <w:hideMark/>
          </w:tcPr>
          <w:p w:rsidR="001144B6" w:rsidRPr="00923D98" w:rsidP="00F06F14" w14:paraId="6821C855"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Ministerstvo zdravotnictví</w:t>
            </w:r>
          </w:p>
        </w:tc>
      </w:tr>
      <w:tr w14:paraId="08A787E4"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2DB48A30"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MZE</w:t>
            </w:r>
          </w:p>
        </w:tc>
        <w:tc>
          <w:tcPr>
            <w:tcW w:w="7229" w:type="dxa"/>
            <w:shd w:val="clear" w:color="auto" w:fill="auto"/>
            <w:noWrap/>
            <w:vAlign w:val="bottom"/>
            <w:hideMark/>
          </w:tcPr>
          <w:p w:rsidR="001144B6" w:rsidRPr="00923D98" w:rsidP="00F06F14" w14:paraId="02260C03"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Ministerstvo zemědělství</w:t>
            </w:r>
          </w:p>
        </w:tc>
      </w:tr>
      <w:tr w14:paraId="36936B27"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1E14DD2C"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 xml:space="preserve">MŽP </w:t>
            </w:r>
          </w:p>
        </w:tc>
        <w:tc>
          <w:tcPr>
            <w:tcW w:w="7229" w:type="dxa"/>
            <w:shd w:val="clear" w:color="auto" w:fill="auto"/>
            <w:noWrap/>
            <w:vAlign w:val="bottom"/>
            <w:hideMark/>
          </w:tcPr>
          <w:p w:rsidR="001144B6" w:rsidRPr="00923D98" w:rsidP="00F06F14" w14:paraId="217592F4"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Ministerstvo životního prostředí</w:t>
            </w:r>
          </w:p>
        </w:tc>
      </w:tr>
      <w:tr w14:paraId="04D128D4"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50828475"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NAM</w:t>
            </w:r>
          </w:p>
        </w:tc>
        <w:tc>
          <w:tcPr>
            <w:tcW w:w="7229" w:type="dxa"/>
            <w:shd w:val="clear" w:color="auto" w:fill="auto"/>
            <w:noWrap/>
            <w:vAlign w:val="bottom"/>
            <w:hideMark/>
          </w:tcPr>
          <w:p w:rsidR="001144B6" w:rsidRPr="00923D98" w:rsidP="00F06F14" w14:paraId="3A205106"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Náměstek ministra</w:t>
            </w:r>
          </w:p>
        </w:tc>
      </w:tr>
      <w:tr w14:paraId="77DC7957" w14:textId="77777777" w:rsidTr="00F06F14">
        <w:tblPrEx>
          <w:tblW w:w="9072" w:type="dxa"/>
          <w:tblCellMar>
            <w:left w:w="70" w:type="dxa"/>
            <w:right w:w="70" w:type="dxa"/>
          </w:tblCellMar>
          <w:tblLook w:val="04A0"/>
        </w:tblPrEx>
        <w:trPr>
          <w:trHeight w:val="315"/>
        </w:trPr>
        <w:tc>
          <w:tcPr>
            <w:tcW w:w="1843" w:type="dxa"/>
            <w:shd w:val="clear" w:color="auto" w:fill="auto"/>
            <w:noWrap/>
            <w:vAlign w:val="bottom"/>
            <w:hideMark/>
          </w:tcPr>
          <w:p w:rsidR="001144B6" w:rsidRPr="00923D98" w:rsidP="00F06F14" w14:paraId="6717F1BA"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NNO</w:t>
            </w:r>
          </w:p>
        </w:tc>
        <w:tc>
          <w:tcPr>
            <w:tcW w:w="7229" w:type="dxa"/>
            <w:shd w:val="clear" w:color="auto" w:fill="auto"/>
            <w:noWrap/>
            <w:vAlign w:val="bottom"/>
            <w:hideMark/>
          </w:tcPr>
          <w:p w:rsidR="001144B6" w:rsidRPr="00923D98" w:rsidP="00F06F14" w14:paraId="1CA16CED"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Nestátní nezisková organizace</w:t>
            </w:r>
          </w:p>
        </w:tc>
      </w:tr>
      <w:tr w14:paraId="0BE654F5"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6027F61D"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NZIP</w:t>
            </w:r>
          </w:p>
        </w:tc>
        <w:tc>
          <w:tcPr>
            <w:tcW w:w="7229" w:type="dxa"/>
            <w:shd w:val="clear" w:color="auto" w:fill="auto"/>
            <w:noWrap/>
            <w:vAlign w:val="bottom"/>
            <w:hideMark/>
          </w:tcPr>
          <w:p w:rsidR="001144B6" w:rsidRPr="00923D98" w:rsidP="00F06F14" w14:paraId="7819ABF2"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Národní zdravotnický informační portál</w:t>
            </w:r>
          </w:p>
        </w:tc>
      </w:tr>
      <w:tr w14:paraId="160C38A6"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1E56002A"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OLZP</w:t>
            </w:r>
          </w:p>
        </w:tc>
        <w:tc>
          <w:tcPr>
            <w:tcW w:w="7229" w:type="dxa"/>
            <w:shd w:val="clear" w:color="auto" w:fill="auto"/>
            <w:noWrap/>
            <w:vAlign w:val="bottom"/>
          </w:tcPr>
          <w:p w:rsidR="001144B6" w:rsidRPr="00923D98" w:rsidP="00F06F14" w14:paraId="645117D5"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Odbor léčiv a zdravotnických prostředků</w:t>
            </w:r>
          </w:p>
        </w:tc>
      </w:tr>
      <w:tr w14:paraId="1EEBBEDF"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6DE5EBDA"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RVVI</w:t>
            </w:r>
          </w:p>
        </w:tc>
        <w:tc>
          <w:tcPr>
            <w:tcW w:w="7229" w:type="dxa"/>
            <w:shd w:val="clear" w:color="auto" w:fill="auto"/>
            <w:noWrap/>
            <w:vAlign w:val="bottom"/>
          </w:tcPr>
          <w:p w:rsidR="001144B6" w:rsidRPr="00923D98" w:rsidP="00F06F14" w14:paraId="28960933"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Rada pro výzkum, vývoj a inovace</w:t>
            </w:r>
          </w:p>
        </w:tc>
      </w:tr>
      <w:tr w14:paraId="4A00B045"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55064694" w14:textId="77777777">
            <w:pPr>
              <w:rPr>
                <w:rFonts w:asciiTheme="minorHAnsi" w:hAnsiTheme="minorHAnsi" w:cstheme="minorHAnsi"/>
                <w:color w:val="000000"/>
                <w:sz w:val="22"/>
                <w:szCs w:val="22"/>
              </w:rPr>
            </w:pPr>
            <w:r w:rsidRPr="00923D98">
              <w:rPr>
                <w:rFonts w:asciiTheme="minorHAnsi" w:hAnsiTheme="minorHAnsi" w:cstheme="minorHAnsi"/>
                <w:sz w:val="22"/>
                <w:szCs w:val="22"/>
              </w:rPr>
              <w:t>SE</w:t>
            </w:r>
          </w:p>
        </w:tc>
        <w:tc>
          <w:tcPr>
            <w:tcW w:w="7229" w:type="dxa"/>
            <w:shd w:val="clear" w:color="auto" w:fill="auto"/>
            <w:noWrap/>
            <w:vAlign w:val="bottom"/>
          </w:tcPr>
          <w:p w:rsidR="001144B6" w:rsidRPr="00923D98" w:rsidP="00F06F14" w14:paraId="6CCE863C"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Sekce pro ekonomiku a zdravotní pojištění MZD</w:t>
            </w:r>
          </w:p>
        </w:tc>
      </w:tr>
      <w:tr w14:paraId="4E8E7328" w14:textId="77777777" w:rsidTr="00F06F14">
        <w:tblPrEx>
          <w:tblW w:w="9072" w:type="dxa"/>
          <w:tblCellMar>
            <w:left w:w="70" w:type="dxa"/>
            <w:right w:w="70" w:type="dxa"/>
          </w:tblCellMar>
          <w:tblLook w:val="04A0"/>
        </w:tblPrEx>
        <w:trPr>
          <w:trHeight w:val="315"/>
        </w:trPr>
        <w:tc>
          <w:tcPr>
            <w:tcW w:w="1843" w:type="dxa"/>
            <w:shd w:val="clear" w:color="auto" w:fill="auto"/>
            <w:noWrap/>
            <w:vAlign w:val="bottom"/>
            <w:hideMark/>
          </w:tcPr>
          <w:p w:rsidR="001144B6" w:rsidRPr="00923D98" w:rsidP="00F06F14" w14:paraId="1777264E"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SL</w:t>
            </w:r>
          </w:p>
        </w:tc>
        <w:tc>
          <w:tcPr>
            <w:tcW w:w="7229" w:type="dxa"/>
            <w:shd w:val="clear" w:color="auto" w:fill="auto"/>
            <w:noWrap/>
            <w:vAlign w:val="bottom"/>
            <w:hideMark/>
          </w:tcPr>
          <w:p w:rsidR="001144B6" w:rsidRPr="00923D98" w:rsidP="00F06F14" w14:paraId="51052CA4"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Sekce legislativy a práva MZD</w:t>
            </w:r>
          </w:p>
        </w:tc>
      </w:tr>
      <w:tr w14:paraId="35429D0D"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49E4AEBB"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SMOCR</w:t>
            </w:r>
          </w:p>
        </w:tc>
        <w:tc>
          <w:tcPr>
            <w:tcW w:w="7229" w:type="dxa"/>
            <w:shd w:val="clear" w:color="auto" w:fill="auto"/>
            <w:noWrap/>
            <w:vAlign w:val="bottom"/>
            <w:hideMark/>
          </w:tcPr>
          <w:p w:rsidR="001144B6" w:rsidRPr="00923D98" w:rsidP="00F06F14" w14:paraId="651016AB"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Svaz měst a obcí ČR</w:t>
            </w:r>
          </w:p>
        </w:tc>
      </w:tr>
      <w:tr w14:paraId="1682D7C7"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578FCA06"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SSHR</w:t>
            </w:r>
          </w:p>
        </w:tc>
        <w:tc>
          <w:tcPr>
            <w:tcW w:w="7229" w:type="dxa"/>
            <w:shd w:val="clear" w:color="auto" w:fill="auto"/>
            <w:noWrap/>
            <w:vAlign w:val="bottom"/>
          </w:tcPr>
          <w:p w:rsidR="001144B6" w:rsidRPr="00923D98" w:rsidP="00F06F14" w14:paraId="42461AE7"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Státní správa hmotných rezerv</w:t>
            </w:r>
          </w:p>
        </w:tc>
      </w:tr>
      <w:tr w14:paraId="38B62BBA" w14:textId="77777777" w:rsidTr="00F06F14">
        <w:tblPrEx>
          <w:tblW w:w="9072" w:type="dxa"/>
          <w:tblCellMar>
            <w:left w:w="70" w:type="dxa"/>
            <w:right w:w="70" w:type="dxa"/>
          </w:tblCellMar>
          <w:tblLook w:val="04A0"/>
        </w:tblPrEx>
        <w:trPr>
          <w:trHeight w:val="315"/>
        </w:trPr>
        <w:tc>
          <w:tcPr>
            <w:tcW w:w="1843" w:type="dxa"/>
            <w:shd w:val="clear" w:color="auto" w:fill="auto"/>
            <w:noWrap/>
            <w:vAlign w:val="bottom"/>
          </w:tcPr>
          <w:p w:rsidR="001144B6" w:rsidRPr="00923D98" w:rsidP="00F06F14" w14:paraId="349CA830"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SÚKL</w:t>
            </w:r>
          </w:p>
        </w:tc>
        <w:tc>
          <w:tcPr>
            <w:tcW w:w="7229" w:type="dxa"/>
            <w:shd w:val="clear" w:color="auto" w:fill="auto"/>
            <w:noWrap/>
            <w:vAlign w:val="bottom"/>
          </w:tcPr>
          <w:p w:rsidR="001144B6" w:rsidRPr="00923D98" w:rsidP="00F06F14" w14:paraId="78ED0A6F"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Státní ústav pro kontrolu léčiv</w:t>
            </w:r>
          </w:p>
        </w:tc>
      </w:tr>
      <w:tr w14:paraId="62DF571F" w14:textId="77777777" w:rsidTr="00F06F14">
        <w:tblPrEx>
          <w:tblW w:w="9072" w:type="dxa"/>
          <w:tblCellMar>
            <w:left w:w="70" w:type="dxa"/>
            <w:right w:w="70" w:type="dxa"/>
          </w:tblCellMar>
          <w:tblLook w:val="04A0"/>
        </w:tblPrEx>
        <w:trPr>
          <w:trHeight w:val="315"/>
        </w:trPr>
        <w:tc>
          <w:tcPr>
            <w:tcW w:w="1843" w:type="dxa"/>
            <w:shd w:val="clear" w:color="auto" w:fill="auto"/>
            <w:noWrap/>
            <w:vAlign w:val="bottom"/>
            <w:hideMark/>
          </w:tcPr>
          <w:p w:rsidR="001144B6" w:rsidRPr="00923D98" w:rsidP="00F06F14" w14:paraId="3FB84B86"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 xml:space="preserve">SZ </w:t>
            </w:r>
          </w:p>
        </w:tc>
        <w:tc>
          <w:tcPr>
            <w:tcW w:w="7229" w:type="dxa"/>
            <w:shd w:val="clear" w:color="auto" w:fill="auto"/>
            <w:noWrap/>
            <w:vAlign w:val="bottom"/>
            <w:hideMark/>
          </w:tcPr>
          <w:p w:rsidR="001144B6" w:rsidRPr="00923D98" w:rsidP="00F06F14" w14:paraId="1C361C10"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Sekce pro zdravotní péči</w:t>
            </w:r>
          </w:p>
        </w:tc>
      </w:tr>
      <w:tr w14:paraId="579BF64E"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2D1E1AC7"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SZP</w:t>
            </w:r>
          </w:p>
        </w:tc>
        <w:tc>
          <w:tcPr>
            <w:tcW w:w="7229" w:type="dxa"/>
            <w:shd w:val="clear" w:color="auto" w:fill="auto"/>
            <w:noWrap/>
            <w:vAlign w:val="bottom"/>
          </w:tcPr>
          <w:p w:rsidR="001144B6" w:rsidRPr="00923D98" w:rsidP="00F06F14" w14:paraId="76F607F3"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Svaz zdravotních pojišťoven</w:t>
            </w:r>
          </w:p>
        </w:tc>
      </w:tr>
      <w:tr w14:paraId="7D366503"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1544E016"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SZÚ</w:t>
            </w:r>
          </w:p>
        </w:tc>
        <w:tc>
          <w:tcPr>
            <w:tcW w:w="7229" w:type="dxa"/>
            <w:shd w:val="clear" w:color="auto" w:fill="auto"/>
            <w:noWrap/>
            <w:vAlign w:val="bottom"/>
            <w:hideMark/>
          </w:tcPr>
          <w:p w:rsidR="001144B6" w:rsidRPr="00923D98" w:rsidP="00F06F14" w14:paraId="0E5565FD"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Státní zdravotní ústav</w:t>
            </w:r>
          </w:p>
        </w:tc>
      </w:tr>
      <w:tr w14:paraId="5919B8C5"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2ACE1695"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TAČR</w:t>
            </w:r>
          </w:p>
        </w:tc>
        <w:tc>
          <w:tcPr>
            <w:tcW w:w="7229" w:type="dxa"/>
            <w:shd w:val="clear" w:color="auto" w:fill="auto"/>
            <w:noWrap/>
            <w:vAlign w:val="bottom"/>
          </w:tcPr>
          <w:p w:rsidR="001144B6" w:rsidRPr="00923D98" w:rsidP="00F06F14" w14:paraId="3F451A96"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Technologická agentura ČR</w:t>
            </w:r>
          </w:p>
        </w:tc>
      </w:tr>
      <w:tr w14:paraId="55BACE8F"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4AD233F5"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ÚOHS</w:t>
            </w:r>
          </w:p>
        </w:tc>
        <w:tc>
          <w:tcPr>
            <w:tcW w:w="7229" w:type="dxa"/>
            <w:shd w:val="clear" w:color="auto" w:fill="auto"/>
            <w:noWrap/>
            <w:vAlign w:val="bottom"/>
          </w:tcPr>
          <w:p w:rsidR="001144B6" w:rsidRPr="00923D98" w:rsidP="00F06F14" w14:paraId="7D202866"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Úřad pro ochranu hospodářské soutěže</w:t>
            </w:r>
          </w:p>
        </w:tc>
      </w:tr>
      <w:tr w14:paraId="7F4004A0"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7A932760"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ÚV</w:t>
            </w:r>
          </w:p>
        </w:tc>
        <w:tc>
          <w:tcPr>
            <w:tcW w:w="7229" w:type="dxa"/>
            <w:shd w:val="clear" w:color="auto" w:fill="auto"/>
            <w:noWrap/>
            <w:vAlign w:val="bottom"/>
            <w:hideMark/>
          </w:tcPr>
          <w:p w:rsidR="001144B6" w:rsidRPr="00923D98" w:rsidP="00F06F14" w14:paraId="7A5A8F7F"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 xml:space="preserve">Úřad vlády </w:t>
            </w:r>
          </w:p>
        </w:tc>
      </w:tr>
      <w:tr w14:paraId="12BE3F35"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55FE7A51"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ÚZIS</w:t>
            </w:r>
          </w:p>
        </w:tc>
        <w:tc>
          <w:tcPr>
            <w:tcW w:w="7229" w:type="dxa"/>
            <w:shd w:val="clear" w:color="auto" w:fill="auto"/>
            <w:noWrap/>
            <w:vAlign w:val="bottom"/>
            <w:hideMark/>
          </w:tcPr>
          <w:p w:rsidR="001144B6" w:rsidRPr="00923D98" w:rsidP="00F06F14" w14:paraId="1EA74993"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Ústav zdravotnických informací a statistiky</w:t>
            </w:r>
          </w:p>
        </w:tc>
      </w:tr>
      <w:tr w14:paraId="6A90712B"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tcPr>
          <w:p w:rsidR="001144B6" w:rsidRPr="00923D98" w:rsidP="00F06F14" w14:paraId="278B8D93"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VVD</w:t>
            </w:r>
          </w:p>
        </w:tc>
        <w:tc>
          <w:tcPr>
            <w:tcW w:w="7229" w:type="dxa"/>
            <w:shd w:val="clear" w:color="auto" w:fill="auto"/>
            <w:noWrap/>
            <w:vAlign w:val="bottom"/>
          </w:tcPr>
          <w:p w:rsidR="001144B6" w:rsidRPr="00923D98" w:rsidP="00F06F14" w14:paraId="2FC31885"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Oddělení vědy, výzkumu a dotací na vzdělávání</w:t>
            </w:r>
          </w:p>
        </w:tc>
      </w:tr>
      <w:tr w14:paraId="3C7853D4" w14:textId="77777777" w:rsidTr="00F06F14">
        <w:tblPrEx>
          <w:tblW w:w="9072" w:type="dxa"/>
          <w:tblCellMar>
            <w:left w:w="70" w:type="dxa"/>
            <w:right w:w="70" w:type="dxa"/>
          </w:tblCellMar>
          <w:tblLook w:val="04A0"/>
        </w:tblPrEx>
        <w:trPr>
          <w:trHeight w:val="300"/>
        </w:trPr>
        <w:tc>
          <w:tcPr>
            <w:tcW w:w="1843" w:type="dxa"/>
            <w:shd w:val="clear" w:color="auto" w:fill="auto"/>
            <w:noWrap/>
            <w:vAlign w:val="bottom"/>
            <w:hideMark/>
          </w:tcPr>
          <w:p w:rsidR="001144B6" w:rsidRPr="00923D98" w:rsidP="00F06F14" w14:paraId="42526A12"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VZP</w:t>
            </w:r>
          </w:p>
        </w:tc>
        <w:tc>
          <w:tcPr>
            <w:tcW w:w="7229" w:type="dxa"/>
            <w:shd w:val="clear" w:color="auto" w:fill="auto"/>
            <w:noWrap/>
            <w:vAlign w:val="bottom"/>
            <w:hideMark/>
          </w:tcPr>
          <w:p w:rsidR="001144B6" w:rsidRPr="00923D98" w:rsidP="00F06F14" w14:paraId="6EBBFA25" w14:textId="77777777">
            <w:pPr>
              <w:rPr>
                <w:rFonts w:asciiTheme="minorHAnsi" w:hAnsiTheme="minorHAnsi" w:cstheme="minorHAnsi"/>
                <w:color w:val="000000"/>
                <w:sz w:val="22"/>
                <w:szCs w:val="22"/>
              </w:rPr>
            </w:pPr>
            <w:r w:rsidRPr="00923D98">
              <w:rPr>
                <w:rFonts w:asciiTheme="minorHAnsi" w:hAnsiTheme="minorHAnsi" w:cstheme="minorHAnsi"/>
                <w:color w:val="000000"/>
                <w:sz w:val="22"/>
                <w:szCs w:val="22"/>
              </w:rPr>
              <w:t>Všeobecná zdravotní pojišťovna</w:t>
            </w:r>
          </w:p>
        </w:tc>
      </w:tr>
    </w:tbl>
    <w:p w:rsidR="00427963" w:rsidRPr="00923D98" w:rsidP="008D0088" w14:paraId="6760926B" w14:textId="23D78A18">
      <w:pPr>
        <w:rPr>
          <w:rFonts w:asciiTheme="minorHAnsi" w:hAnsiTheme="minorHAnsi" w:cstheme="minorHAnsi"/>
          <w:b/>
        </w:rPr>
      </w:pPr>
    </w:p>
    <w:p w:rsidR="0048508C" w:rsidRPr="00923D98" w:rsidP="008D0088" w14:paraId="265C54F9" w14:textId="77777777">
      <w:pPr>
        <w:rPr>
          <w:rFonts w:asciiTheme="minorHAnsi" w:hAnsiTheme="minorHAnsi" w:cstheme="minorHAnsi"/>
          <w:b/>
        </w:rPr>
      </w:pPr>
    </w:p>
    <w:p w:rsidR="0048508C" w:rsidRPr="00CE4602" w:rsidP="0048508C" w14:paraId="68617F2B" w14:textId="77777777">
      <w:pPr>
        <w:rPr>
          <w:rFonts w:asciiTheme="minorHAnsi" w:hAnsiTheme="minorHAnsi" w:cstheme="minorHAnsi"/>
          <w:b/>
        </w:rPr>
      </w:pPr>
      <w:r w:rsidRPr="00CE4602">
        <w:rPr>
          <w:rFonts w:asciiTheme="minorHAnsi" w:hAnsiTheme="minorHAnsi" w:cstheme="minorHAnsi"/>
          <w:b/>
        </w:rPr>
        <w:t>Seznam obrázků</w:t>
      </w:r>
    </w:p>
    <w:p w14:paraId="2A16FBA7" w14:textId="23581B56">
      <w:pPr>
        <w:pStyle w:val="TableofFigures"/>
        <w:tabs>
          <w:tab w:val="right" w:leader="dot" w:pos="9062"/>
        </w:tabs>
        <w:rPr>
          <w:rFonts w:asciiTheme="minorHAnsi" w:hAnsiTheme="minorHAnsi"/>
          <w:noProof/>
          <w:sz w:val="22"/>
        </w:rPr>
      </w:pPr>
      <w:r w:rsidRPr="00CE4602">
        <w:rPr>
          <w:rFonts w:asciiTheme="minorHAnsi" w:hAnsiTheme="minorHAnsi" w:cstheme="minorHAnsi"/>
          <w:b/>
        </w:rPr>
        <w:fldChar w:fldCharType="begin"/>
      </w:r>
      <w:r w:rsidRPr="00CE4602">
        <w:rPr>
          <w:rFonts w:asciiTheme="minorHAnsi" w:hAnsiTheme="minorHAnsi" w:cstheme="minorHAnsi"/>
          <w:b/>
        </w:rPr>
        <w:instrText xml:space="preserve"> TOC \h \z \c "Obrázek" </w:instrText>
      </w:r>
      <w:r w:rsidRPr="00CE4602">
        <w:rPr>
          <w:rFonts w:asciiTheme="minorHAnsi" w:hAnsiTheme="minorHAnsi" w:cstheme="minorHAnsi"/>
          <w:b/>
        </w:rPr>
        <w:fldChar w:fldCharType="separate"/>
      </w:r>
      <w:hyperlink w:anchor="_Toc256000010" w:history="1">
        <w:r w:rsidRPr="00923D98">
          <w:rPr>
            <w:rStyle w:val="Hyperlink"/>
            <w:rFonts w:cstheme="minorHAnsi"/>
          </w:rPr>
          <w:t xml:space="preserve">Obrázek </w:t>
        </w:r>
        <w:r w:rsidRPr="00923D98">
          <w:rPr>
            <w:rStyle w:val="Hyperlink"/>
            <w:rFonts w:cstheme="minorHAnsi"/>
          </w:rPr>
          <w:t>1</w:t>
        </w:r>
        <w:r w:rsidRPr="00923D98">
          <w:rPr>
            <w:rStyle w:val="Hyperlink"/>
            <w:rFonts w:cstheme="minorHAnsi"/>
          </w:rPr>
          <w:t xml:space="preserve"> Struktura specifických cílů Strategického rámce Zdraví 2035</w:t>
        </w:r>
        <w:r>
          <w:tab/>
        </w:r>
        <w:r>
          <w:fldChar w:fldCharType="begin"/>
        </w:r>
        <w:r>
          <w:instrText xml:space="preserve"> PAGEREF _Toc256000010 \h </w:instrText>
        </w:r>
        <w:r>
          <w:fldChar w:fldCharType="separate"/>
        </w:r>
        <w:r>
          <w:t>7</w:t>
        </w:r>
        <w:r>
          <w:fldChar w:fldCharType="end"/>
        </w:r>
      </w:hyperlink>
    </w:p>
    <w:p>
      <w:pPr>
        <w:pStyle w:val="TableofFigures"/>
        <w:tabs>
          <w:tab w:val="right" w:leader="dot" w:pos="9062"/>
        </w:tabs>
        <w:rPr>
          <w:rFonts w:asciiTheme="minorHAnsi" w:hAnsiTheme="minorHAnsi"/>
          <w:noProof/>
          <w:sz w:val="22"/>
        </w:rPr>
      </w:pPr>
      <w:hyperlink w:anchor="_Toc256000011" w:history="1">
        <w:r w:rsidRPr="00923D98">
          <w:rPr>
            <w:rStyle w:val="Hyperlink"/>
            <w:rFonts w:cstheme="minorHAnsi"/>
          </w:rPr>
          <w:t xml:space="preserve">Obrázek </w:t>
        </w:r>
        <w:r w:rsidRPr="00923D98">
          <w:rPr>
            <w:rStyle w:val="Hyperlink"/>
            <w:rFonts w:cstheme="minorHAnsi"/>
          </w:rPr>
          <w:t>2</w:t>
        </w:r>
        <w:r w:rsidRPr="00923D98">
          <w:rPr>
            <w:rStyle w:val="Hyperlink"/>
            <w:rFonts w:cstheme="minorHAnsi"/>
          </w:rPr>
          <w:t xml:space="preserve"> Schéma realizační struktury</w:t>
        </w:r>
        <w:r>
          <w:tab/>
        </w:r>
        <w:r>
          <w:fldChar w:fldCharType="begin"/>
        </w:r>
        <w:r>
          <w:instrText xml:space="preserve"> PAGEREF _Toc256000011 \h </w:instrText>
        </w:r>
        <w:r>
          <w:fldChar w:fldCharType="separate"/>
        </w:r>
        <w:r>
          <w:t>30</w:t>
        </w:r>
        <w:r>
          <w:fldChar w:fldCharType="end"/>
        </w:r>
      </w:hyperlink>
    </w:p>
    <w:p w:rsidR="0048508C" w:rsidRPr="00CE4602" w:rsidP="0048508C">
      <w:pPr>
        <w:rPr>
          <w:rFonts w:asciiTheme="minorHAnsi" w:hAnsiTheme="minorHAnsi" w:cstheme="minorHAnsi"/>
          <w:b/>
        </w:rPr>
      </w:pPr>
      <w:r w:rsidRPr="00CE4602">
        <w:rPr>
          <w:rFonts w:asciiTheme="minorHAnsi" w:hAnsiTheme="minorHAnsi" w:cstheme="minorHAnsi"/>
          <w:b/>
        </w:rPr>
        <w:fldChar w:fldCharType="end"/>
      </w:r>
    </w:p>
    <w:p w:rsidR="0048508C" w:rsidRPr="00CE4602" w:rsidP="0048508C" w14:paraId="4EC1102F" w14:textId="77777777">
      <w:pPr>
        <w:rPr>
          <w:rFonts w:asciiTheme="minorHAnsi" w:hAnsiTheme="minorHAnsi" w:cstheme="minorHAnsi"/>
          <w:b/>
        </w:rPr>
      </w:pPr>
      <w:r w:rsidRPr="00CE4602">
        <w:rPr>
          <w:rFonts w:asciiTheme="minorHAnsi" w:hAnsiTheme="minorHAnsi" w:cstheme="minorHAnsi"/>
          <w:b/>
        </w:rPr>
        <w:t>Seznam tabulek</w:t>
      </w:r>
    </w:p>
    <w:p w14:paraId="2464E081" w14:textId="3935A252">
      <w:pPr>
        <w:pStyle w:val="TableofFigures"/>
        <w:tabs>
          <w:tab w:val="right" w:leader="dot" w:pos="9062"/>
        </w:tabs>
        <w:rPr>
          <w:rFonts w:asciiTheme="minorHAnsi" w:hAnsiTheme="minorHAnsi"/>
          <w:noProof/>
          <w:sz w:val="22"/>
        </w:rPr>
      </w:pPr>
      <w:r w:rsidRPr="00CE4602">
        <w:rPr>
          <w:rFonts w:asciiTheme="minorHAnsi" w:hAnsiTheme="minorHAnsi" w:cstheme="minorHAnsi"/>
        </w:rPr>
        <w:fldChar w:fldCharType="begin"/>
      </w:r>
      <w:r w:rsidRPr="00CE4602">
        <w:rPr>
          <w:rFonts w:asciiTheme="minorHAnsi" w:hAnsiTheme="minorHAnsi" w:cstheme="minorHAnsi"/>
        </w:rPr>
        <w:instrText xml:space="preserve"> TOC \h \z \c "Tabulka" </w:instrText>
      </w:r>
      <w:r w:rsidRPr="00CE4602">
        <w:rPr>
          <w:rFonts w:asciiTheme="minorHAnsi" w:hAnsiTheme="minorHAnsi" w:cstheme="minorHAnsi"/>
        </w:rPr>
        <w:fldChar w:fldCharType="separate"/>
      </w:r>
      <w:hyperlink w:anchor="_Toc256000012" w:history="1">
        <w:r w:rsidRPr="00923D98">
          <w:rPr>
            <w:rStyle w:val="Hyperlink"/>
            <w:rFonts w:cstheme="minorHAnsi"/>
          </w:rPr>
          <w:t xml:space="preserve">Tabulka </w:t>
        </w:r>
        <w:r w:rsidRPr="00923D98">
          <w:rPr>
            <w:rStyle w:val="Hyperlink"/>
            <w:rFonts w:cstheme="minorHAnsi"/>
          </w:rPr>
          <w:t>1</w:t>
        </w:r>
        <w:r w:rsidRPr="00923D98">
          <w:rPr>
            <w:rStyle w:val="Hyperlink"/>
            <w:rFonts w:cstheme="minorHAnsi"/>
          </w:rPr>
          <w:t xml:space="preserve"> Hierarchická struktura a harmonogram realizace</w:t>
        </w:r>
        <w:r>
          <w:tab/>
        </w:r>
        <w:r>
          <w:fldChar w:fldCharType="begin"/>
        </w:r>
        <w:r>
          <w:instrText xml:space="preserve"> PAGEREF _Toc256000012 \h </w:instrText>
        </w:r>
        <w:r>
          <w:fldChar w:fldCharType="separate"/>
        </w:r>
        <w:r>
          <w:t>16</w:t>
        </w:r>
        <w:r>
          <w:fldChar w:fldCharType="end"/>
        </w:r>
      </w:hyperlink>
    </w:p>
    <w:p>
      <w:pPr>
        <w:pStyle w:val="TableofFigures"/>
        <w:tabs>
          <w:tab w:val="right" w:leader="dot" w:pos="9062"/>
        </w:tabs>
        <w:rPr>
          <w:rFonts w:asciiTheme="minorHAnsi" w:hAnsiTheme="minorHAnsi"/>
          <w:noProof/>
          <w:sz w:val="22"/>
        </w:rPr>
      </w:pPr>
      <w:hyperlink w:anchor="_Toc256000013" w:history="1">
        <w:r w:rsidRPr="00923D98">
          <w:rPr>
            <w:rStyle w:val="Hyperlink"/>
            <w:rFonts w:cstheme="minorHAnsi"/>
          </w:rPr>
          <w:t xml:space="preserve">Tabulka </w:t>
        </w:r>
        <w:r w:rsidRPr="00923D98">
          <w:rPr>
            <w:rStyle w:val="Hyperlink"/>
            <w:rFonts w:cstheme="minorHAnsi"/>
          </w:rPr>
          <w:t>2</w:t>
        </w:r>
        <w:r w:rsidRPr="00923D98">
          <w:rPr>
            <w:rStyle w:val="Hyperlink"/>
            <w:rFonts w:cstheme="minorHAnsi"/>
          </w:rPr>
          <w:t xml:space="preserve"> </w:t>
        </w:r>
        <w:r w:rsidRPr="00923D98" w:rsidR="00427532">
          <w:rPr>
            <w:rStyle w:val="Hyperlink"/>
            <w:rFonts w:cstheme="minorHAnsi"/>
          </w:rPr>
          <w:t>Rozpočet dle dílčích cílů a plánované zdroje financování</w:t>
        </w:r>
        <w:r>
          <w:tab/>
        </w:r>
        <w:r>
          <w:fldChar w:fldCharType="begin"/>
        </w:r>
        <w:r>
          <w:instrText xml:space="preserve"> PAGEREF _Toc256000013 \h </w:instrText>
        </w:r>
        <w:r>
          <w:fldChar w:fldCharType="separate"/>
        </w:r>
        <w:r>
          <w:t>25</w:t>
        </w:r>
        <w:r>
          <w:fldChar w:fldCharType="end"/>
        </w:r>
      </w:hyperlink>
    </w:p>
    <w:p>
      <w:pPr>
        <w:pStyle w:val="TableofFigures"/>
        <w:tabs>
          <w:tab w:val="right" w:leader="dot" w:pos="9062"/>
        </w:tabs>
        <w:rPr>
          <w:rFonts w:asciiTheme="minorHAnsi" w:hAnsiTheme="minorHAnsi"/>
          <w:noProof/>
          <w:sz w:val="22"/>
        </w:rPr>
      </w:pPr>
      <w:hyperlink w:anchor="_Toc256000014" w:history="1">
        <w:r w:rsidRPr="00923D98">
          <w:rPr>
            <w:rStyle w:val="Hyperlink"/>
            <w:rFonts w:cstheme="minorHAnsi"/>
          </w:rPr>
          <w:t xml:space="preserve">Tabulka </w:t>
        </w:r>
        <w:r w:rsidRPr="00923D98">
          <w:rPr>
            <w:rStyle w:val="Hyperlink"/>
            <w:rFonts w:cstheme="minorHAnsi"/>
          </w:rPr>
          <w:t>3</w:t>
        </w:r>
        <w:r w:rsidRPr="00923D98">
          <w:rPr>
            <w:rStyle w:val="Hyperlink"/>
            <w:rFonts w:cstheme="minorHAnsi"/>
          </w:rPr>
          <w:t xml:space="preserve"> Indikátory </w:t>
        </w:r>
        <w:r w:rsidRPr="00923D98" w:rsidR="004B3EC6">
          <w:rPr>
            <w:rStyle w:val="Hyperlink"/>
            <w:rFonts w:cstheme="minorHAnsi"/>
          </w:rPr>
          <w:t>IP 1.3</w:t>
        </w:r>
        <w:r>
          <w:tab/>
        </w:r>
        <w:r>
          <w:fldChar w:fldCharType="begin"/>
        </w:r>
        <w:r>
          <w:instrText xml:space="preserve"> PAGEREF _Toc256000014 \h </w:instrText>
        </w:r>
        <w:r>
          <w:fldChar w:fldCharType="separate"/>
        </w:r>
        <w:r>
          <w:t>28</w:t>
        </w:r>
        <w:r>
          <w:fldChar w:fldCharType="end"/>
        </w:r>
      </w:hyperlink>
    </w:p>
    <w:p>
      <w:pPr>
        <w:pStyle w:val="TableofFigures"/>
        <w:tabs>
          <w:tab w:val="right" w:leader="dot" w:pos="9062"/>
        </w:tabs>
        <w:rPr>
          <w:rFonts w:asciiTheme="minorHAnsi" w:hAnsiTheme="minorHAnsi"/>
          <w:noProof/>
          <w:sz w:val="22"/>
        </w:rPr>
      </w:pPr>
      <w:hyperlink w:anchor="_Toc256000015" w:history="1">
        <w:r w:rsidRPr="00923D98">
          <w:rPr>
            <w:rStyle w:val="Hyperlink"/>
            <w:rFonts w:cstheme="minorHAnsi"/>
          </w:rPr>
          <w:t xml:space="preserve">Tabulka </w:t>
        </w:r>
        <w:r w:rsidRPr="00923D98">
          <w:rPr>
            <w:rStyle w:val="Hyperlink"/>
            <w:rFonts w:cstheme="minorHAnsi"/>
          </w:rPr>
          <w:t>4</w:t>
        </w:r>
        <w:r w:rsidRPr="00923D98">
          <w:rPr>
            <w:rStyle w:val="Hyperlink"/>
            <w:rFonts w:cstheme="minorHAnsi"/>
          </w:rPr>
          <w:t xml:space="preserve"> Registr rizik ke dni schválení IP</w:t>
        </w:r>
        <w:r>
          <w:tab/>
        </w:r>
        <w:r>
          <w:fldChar w:fldCharType="begin"/>
        </w:r>
        <w:r>
          <w:instrText xml:space="preserve"> PAGEREF _Toc256000015 \h </w:instrText>
        </w:r>
        <w:r>
          <w:fldChar w:fldCharType="separate"/>
        </w:r>
        <w:r>
          <w:t>32</w:t>
        </w:r>
        <w:r>
          <w:fldChar w:fldCharType="end"/>
        </w:r>
      </w:hyperlink>
    </w:p>
    <w:p>
      <w:pPr>
        <w:pStyle w:val="TableofFigures"/>
        <w:tabs>
          <w:tab w:val="right" w:leader="dot" w:pos="9062"/>
        </w:tabs>
        <w:rPr>
          <w:rFonts w:asciiTheme="minorHAnsi" w:hAnsiTheme="minorHAnsi"/>
          <w:noProof/>
          <w:sz w:val="22"/>
        </w:rPr>
      </w:pPr>
      <w:hyperlink w:anchor="_Toc256000016" w:history="1">
        <w:r w:rsidRPr="00923D98">
          <w:rPr>
            <w:rStyle w:val="Hyperlink"/>
            <w:rFonts w:cstheme="minorHAnsi"/>
          </w:rPr>
          <w:t xml:space="preserve">Tabulka </w:t>
        </w:r>
        <w:r w:rsidRPr="00923D98">
          <w:rPr>
            <w:rStyle w:val="Hyperlink"/>
            <w:rFonts w:cstheme="minorHAnsi"/>
          </w:rPr>
          <w:t>5</w:t>
        </w:r>
        <w:r w:rsidRPr="00923D98">
          <w:rPr>
            <w:rStyle w:val="Hyperlink"/>
            <w:rFonts w:cstheme="minorHAnsi"/>
          </w:rPr>
          <w:t xml:space="preserve"> Základní komunikační plán</w:t>
        </w:r>
        <w:r>
          <w:tab/>
        </w:r>
        <w:r>
          <w:fldChar w:fldCharType="begin"/>
        </w:r>
        <w:r>
          <w:instrText xml:space="preserve"> PAGEREF _Toc256000016 \h </w:instrText>
        </w:r>
        <w:r>
          <w:fldChar w:fldCharType="separate"/>
        </w:r>
        <w:r>
          <w:t>37</w:t>
        </w:r>
        <w:r>
          <w:fldChar w:fldCharType="end"/>
        </w:r>
      </w:hyperlink>
    </w:p>
    <w:p w:rsidR="00FD6FEC" w:rsidRPr="00923D98" w:rsidP="0048508C">
      <w:pPr>
        <w:rPr>
          <w:rFonts w:asciiTheme="minorHAnsi" w:hAnsiTheme="minorHAnsi" w:cstheme="minorHAnsi"/>
        </w:rPr>
      </w:pPr>
      <w:r w:rsidRPr="00CE4602">
        <w:rPr>
          <w:rFonts w:asciiTheme="minorHAnsi" w:hAnsiTheme="minorHAnsi" w:cstheme="minorHAnsi"/>
        </w:rPr>
        <w:fldChar w:fldCharType="end"/>
      </w:r>
    </w:p>
    <w:sectPr w:rsidSect="0059493B">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89062364"/>
      <w:docPartObj>
        <w:docPartGallery w:val="Page Numbers (Bottom of Page)"/>
        <w:docPartUnique/>
      </w:docPartObj>
    </w:sdtPr>
    <w:sdtContent>
      <w:p w:rsidR="00BC5FAD" w:rsidP="002426F9" w14:paraId="2BFA4702" w14:textId="77777777">
        <w:pPr>
          <w:pStyle w:val="Footer"/>
          <w:jc w:val="center"/>
        </w:pPr>
      </w:p>
      <w:p w:rsidR="00BC5FAD" w:rsidP="002426F9" w14:paraId="3B82EFC5" w14:textId="77777777">
        <w:pPr>
          <w:pStyle w:val="Footer"/>
          <w:jc w:val="center"/>
        </w:pPr>
      </w:p>
      <w:p w:rsidR="00BC5FAD" w:rsidP="002426F9" w14:paraId="29351C74" w14:textId="7920EE63">
        <w:pPr>
          <w:pStyle w:val="Footer"/>
          <w:jc w:val="center"/>
          <w:rPr>
            <w:rFonts w:asciiTheme="minorHAnsi" w:hAnsiTheme="minorHAnsi"/>
            <w:i/>
            <w:color w:val="1F497D" w:themeColor="text2"/>
            <w:sz w:val="20"/>
            <w:szCs w:val="20"/>
            <w:highlight w:val="lightGray"/>
          </w:rPr>
        </w:pPr>
        <w:r>
          <w:fldChar w:fldCharType="begin"/>
        </w:r>
        <w:r>
          <w:instrText>PAGE   \* MERGEFORMAT</w:instrText>
        </w:r>
        <w:r>
          <w:fldChar w:fldCharType="separate"/>
        </w:r>
        <w:r>
          <w:rPr>
            <w:noProof/>
          </w:rPr>
          <w:t>39</w:t>
        </w:r>
        <w: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 xml:space="preserve">Verze </w:t>
        </w:r>
        <w:r w:rsidR="004569B2">
          <w:rPr>
            <w:rFonts w:asciiTheme="minorHAnsi" w:hAnsiTheme="minorHAnsi"/>
            <w:color w:val="1F497D" w:themeColor="text2"/>
            <w:sz w:val="22"/>
            <w:szCs w:val="22"/>
          </w:rPr>
          <w:t>1</w:t>
        </w:r>
        <w:r>
          <w:t xml:space="preserve">                               </w:t>
        </w:r>
        <w:r w:rsidRPr="00564925">
          <w:rPr>
            <w:rFonts w:asciiTheme="minorHAnsi" w:hAnsiTheme="minorHAnsi"/>
            <w:color w:val="1F497D" w:themeColor="text2"/>
            <w:sz w:val="22"/>
            <w:szCs w:val="22"/>
          </w:rPr>
          <w:t>Implementační plán č</w:t>
        </w:r>
        <w:r w:rsidRPr="00564925">
          <w:rPr>
            <w:rFonts w:asciiTheme="minorHAnsi" w:hAnsiTheme="minorHAnsi"/>
            <w:color w:val="1F497D" w:themeColor="text2"/>
            <w:sz w:val="22"/>
            <w:szCs w:val="22"/>
            <w:highlight w:val="lightGray"/>
          </w:rPr>
          <w:t>.</w:t>
        </w:r>
        <w:r w:rsidRPr="00564925">
          <w:rPr>
            <w:rFonts w:asciiTheme="minorHAnsi" w:hAnsiTheme="minorHAnsi"/>
            <w:color w:val="1F497D" w:themeColor="text2"/>
            <w:sz w:val="20"/>
            <w:szCs w:val="20"/>
            <w:highlight w:val="lightGray"/>
          </w:rPr>
          <w:t xml:space="preserve"> </w:t>
        </w:r>
        <w:r w:rsidRPr="003A6FEB">
          <w:rPr>
            <w:rFonts w:asciiTheme="minorHAnsi" w:hAnsiTheme="minorHAnsi"/>
            <w:iCs/>
            <w:color w:val="1F497D" w:themeColor="text2"/>
            <w:sz w:val="20"/>
            <w:szCs w:val="20"/>
            <w:highlight w:val="lightGray"/>
          </w:rPr>
          <w:t>1.</w:t>
        </w:r>
        <w:r w:rsidR="004569B2">
          <w:rPr>
            <w:rFonts w:asciiTheme="minorHAnsi" w:hAnsiTheme="minorHAnsi"/>
            <w:iCs/>
            <w:color w:val="1F497D" w:themeColor="text2"/>
            <w:sz w:val="20"/>
            <w:szCs w:val="20"/>
            <w:highlight w:val="lightGray"/>
          </w:rPr>
          <w:t>3</w:t>
        </w:r>
      </w:p>
      <w:p w:rsidR="00BC5FAD" w:rsidRPr="00541FEA" w:rsidP="002426F9" w14:paraId="75915758" w14:textId="0DD24CB9">
        <w:pPr>
          <w:pStyle w:val="Footer"/>
          <w:jc w:val="cen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Platnost od: x.x.202</w:t>
        </w:r>
        <w:r w:rsidR="004229EC">
          <w:rPr>
            <w:rFonts w:asciiTheme="minorHAnsi" w:hAnsiTheme="minorHAnsi" w:cstheme="minorHAnsi"/>
            <w:color w:val="1F497D" w:themeColor="text2"/>
            <w:sz w:val="22"/>
            <w:szCs w:val="22"/>
          </w:rPr>
          <w:t>5</w:t>
        </w:r>
        <w:r w:rsidRPr="00541FEA">
          <w:rPr>
            <w:rFonts w:asciiTheme="minorHAnsi" w:hAnsiTheme="minorHAnsi" w:cstheme="minorHAnsi"/>
            <w:color w:val="1F497D" w:themeColor="text2"/>
            <w:sz w:val="22"/>
            <w:szCs w:val="22"/>
          </w:rPr>
          <w:t xml:space="preserve"> </w:t>
        </w:r>
      </w:p>
      <w:p w:rsidR="00BC5FAD" w14:paraId="63D0B690" w14:textId="77777777">
        <w:pPr>
          <w:pStyle w:val="Footer"/>
        </w:pPr>
      </w:p>
    </w:sdtContent>
  </w:sdt>
  <w:p w:rsidR="00BC5FAD" w:rsidRPr="00541FEA" w:rsidP="00696B0E" w14:paraId="58F8AC38" w14:textId="77777777">
    <w:pPr>
      <w:pStyle w:val="Footer"/>
      <w:jc w:val="center"/>
      <w:rPr>
        <w:rFonts w:asciiTheme="minorHAnsi" w:hAnsiTheme="minorHAnsi" w:cstheme="minorHAnsi"/>
        <w:color w:val="1F497D" w:themeColor="text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701CB6" w:rsidP="006234D1" w14:paraId="24E30008" w14:textId="77777777">
      <w:r>
        <w:separator/>
      </w:r>
    </w:p>
  </w:footnote>
  <w:footnote w:type="continuationSeparator" w:id="1">
    <w:p w:rsidR="00701CB6" w:rsidP="006234D1" w14:paraId="1024A5A2" w14:textId="77777777">
      <w:r>
        <w:continuationSeparator/>
      </w:r>
    </w:p>
  </w:footnote>
  <w:footnote w:id="2">
    <w:p w:rsidR="001B2188" w:rsidRPr="000B1398" w:rsidP="005A4D42" w14:paraId="031BF23E" w14:textId="50F469D1">
      <w:pPr>
        <w:pStyle w:val="FootnoteText"/>
        <w:jc w:val="both"/>
        <w:rPr>
          <w:rFonts w:asciiTheme="minorHAnsi" w:hAnsiTheme="minorHAnsi" w:cstheme="minorHAnsi"/>
        </w:rPr>
      </w:pPr>
      <w:r w:rsidRPr="000B1398">
        <w:rPr>
          <w:rStyle w:val="FootnoteReference"/>
          <w:rFonts w:asciiTheme="minorHAnsi" w:hAnsiTheme="minorHAnsi" w:cstheme="minorHAnsi"/>
        </w:rPr>
        <w:footnoteRef/>
      </w:r>
      <w:r w:rsidRPr="000B1398">
        <w:rPr>
          <w:rFonts w:asciiTheme="minorHAnsi" w:hAnsiTheme="minorHAnsi" w:cstheme="minorHAnsi"/>
        </w:rPr>
        <w:t xml:space="preserve"> Farmaceutická strategie pro Evropu, přijata 25. listopadu 2020, dostupná z: </w:t>
      </w:r>
      <w:hyperlink r:id="rId1" w:history="1">
        <w:r w:rsidRPr="000B1398">
          <w:rPr>
            <w:rStyle w:val="Hyperlink"/>
            <w:rFonts w:asciiTheme="minorHAnsi" w:hAnsiTheme="minorHAnsi" w:cstheme="minorHAnsi"/>
          </w:rPr>
          <w:t>Farmaceutická strategie pro Evropu – Evropská komise</w:t>
        </w:r>
      </w:hyperlink>
    </w:p>
  </w:footnote>
  <w:footnote w:id="3">
    <w:p w:rsidR="002462CC" w:rsidP="005A4D42" w14:paraId="2D4D481F" w14:textId="192A5109">
      <w:pPr>
        <w:pStyle w:val="FootnoteText"/>
        <w:jc w:val="both"/>
      </w:pPr>
      <w:r w:rsidRPr="000B1398">
        <w:rPr>
          <w:rStyle w:val="FootnoteReference"/>
          <w:rFonts w:asciiTheme="minorHAnsi" w:hAnsiTheme="minorHAnsi" w:cstheme="minorHAnsi"/>
        </w:rPr>
        <w:footnoteRef/>
      </w:r>
      <w:r w:rsidR="008738D9">
        <w:rPr>
          <w:rFonts w:asciiTheme="minorHAnsi" w:hAnsiTheme="minorHAnsi" w:cstheme="minorHAnsi"/>
        </w:rPr>
        <w:t> </w:t>
      </w:r>
      <w:r w:rsidRPr="000B1398">
        <w:rPr>
          <w:rFonts w:asciiTheme="minorHAnsi" w:hAnsiTheme="minorHAnsi" w:cstheme="minorHAnsi"/>
        </w:rPr>
        <w:t xml:space="preserve">Dostupná z </w:t>
      </w:r>
      <w:hyperlink r:id="rId2" w:history="1">
        <w:r w:rsidRPr="000B1398">
          <w:rPr>
            <w:rStyle w:val="Hyperlink"/>
            <w:rFonts w:asciiTheme="minorHAnsi" w:hAnsiTheme="minorHAnsi" w:cstheme="minorHAnsi"/>
          </w:rPr>
          <w:t>https://www.databaze-strategie.cz/cz/mpo/strategie/hospodarska-strategie-ceske-republiky-cesko-do-top-10</w:t>
        </w:r>
      </w:hyperlink>
      <w:r w:rsidRPr="000B1398">
        <w:rPr>
          <w:rFonts w:asciiTheme="minorHAnsi" w:hAnsiTheme="minorHAnsi" w:cstheme="minorHAnsi"/>
        </w:rPr>
        <w:t xml:space="preserve"> a z </w:t>
      </w:r>
      <w:hyperlink r:id="rId3" w:history="1">
        <w:r w:rsidRPr="000B1398">
          <w:rPr>
            <w:rStyle w:val="Hyperlink"/>
            <w:rFonts w:asciiTheme="minorHAnsi" w:hAnsiTheme="minorHAnsi" w:cstheme="minorHAnsi"/>
          </w:rPr>
          <w:t>https://mpo.gov.cz/cz/rozcestnik/pro-media/tiskove-zpravy/hospodarska-strategie-ceske-republiky-ministr-vlcek-predstavil-cestu-do-top-10-zemi-evropske-unie--283601/</w:t>
        </w:r>
      </w:hyperlink>
      <w:r w:rsidRPr="000B1398">
        <w:rPr>
          <w:rFonts w:asciiTheme="minorHAnsi" w:hAnsiTheme="minorHAnsi" w:cstheme="minorHAnsi"/>
        </w:rPr>
        <w:t>, schválena usnesením vlády č. 695/2024 Sb., ze dne 9. dubna 2024</w:t>
      </w:r>
    </w:p>
  </w:footnote>
  <w:footnote w:id="4">
    <w:p w:rsidR="00F33560" w:rsidRPr="008729A1" w:rsidP="00F33560" w14:paraId="0F7E3F7B" w14:textId="77777777">
      <w:pPr>
        <w:pStyle w:val="FootnoteText"/>
        <w:jc w:val="both"/>
      </w:pPr>
      <w:r w:rsidRPr="0086180F">
        <w:rPr>
          <w:rStyle w:val="FootnoteReference"/>
        </w:rPr>
        <w:footnoteRef/>
      </w:r>
      <w:r w:rsidRPr="0086180F">
        <w:t xml:space="preserve"> </w:t>
      </w:r>
      <w:r w:rsidRPr="000E4AA3">
        <w:rPr>
          <w:rFonts w:asciiTheme="minorHAnsi" w:hAnsiTheme="minorHAnsi" w:cstheme="minorHAnsi"/>
        </w:rPr>
        <w:t>STRATEGIC REPORT OF THE CRITICAL MEDICINES ALLIANCE, Critical Medicines Alliance, February 28 2025</w:t>
      </w:r>
    </w:p>
  </w:footnote>
  <w:footnote w:id="5">
    <w:p w:rsidR="00F33560" w:rsidRPr="00DD6F2D" w:rsidP="00F33560" w14:paraId="7955FA24" w14:textId="606AB459">
      <w:pPr>
        <w:pStyle w:val="FootnoteText"/>
        <w:jc w:val="both"/>
      </w:pPr>
      <w:r w:rsidRPr="00DD6F2D">
        <w:rPr>
          <w:rStyle w:val="FootnoteReference"/>
        </w:rPr>
        <w:footnoteRef/>
      </w:r>
      <w:r w:rsidRPr="00DD6F2D">
        <w:t xml:space="preserve"> </w:t>
      </w:r>
      <w:r w:rsidRPr="00904FC8">
        <w:rPr>
          <w:rFonts w:asciiTheme="minorHAnsi" w:hAnsiTheme="minorHAnsi" w:cstheme="minorHAnsi"/>
        </w:rPr>
        <w:t xml:space="preserve">Dostupná z </w:t>
      </w:r>
      <w:hyperlink r:id="rId2" w:history="1">
        <w:r w:rsidRPr="00904FC8">
          <w:rPr>
            <w:rStyle w:val="Hyperlink"/>
            <w:rFonts w:asciiTheme="minorHAnsi" w:hAnsiTheme="minorHAnsi" w:cstheme="minorHAnsi"/>
          </w:rPr>
          <w:t>https://www.databaze-strategie.cz/cz/mpo/strategie/hospodarska-strategie-ceske-republiky-cesko-do-top-10</w:t>
        </w:r>
      </w:hyperlink>
      <w:r w:rsidRPr="00904FC8">
        <w:rPr>
          <w:rFonts w:asciiTheme="minorHAnsi" w:hAnsiTheme="minorHAnsi" w:cstheme="minorHAnsi"/>
        </w:rPr>
        <w:t xml:space="preserve"> a z </w:t>
      </w:r>
      <w:hyperlink r:id="rId3" w:history="1">
        <w:r w:rsidRPr="00904FC8">
          <w:rPr>
            <w:rStyle w:val="Hyperlink"/>
            <w:rFonts w:asciiTheme="minorHAnsi" w:hAnsiTheme="minorHAnsi" w:cstheme="minorHAnsi"/>
          </w:rPr>
          <w:t>https://mpo.gov.cz/cz/rozcestnik/pro-media/tiskove-zpravy/hospodarska-strategie-ceske-republiky-ministr-vlcek-predstavil-cestu-do-top-10-zemi-evropske-unie--283601/</w:t>
        </w:r>
      </w:hyperlink>
      <w:r w:rsidRPr="00904FC8">
        <w:rPr>
          <w:rFonts w:asciiTheme="minorHAnsi" w:hAnsiTheme="minorHAnsi" w:cstheme="minorHAnsi"/>
        </w:rPr>
        <w:t>, schválena usnesením vlády č.</w:t>
      </w:r>
      <w:r w:rsidR="00904FC8">
        <w:rPr>
          <w:rFonts w:asciiTheme="minorHAnsi" w:hAnsiTheme="minorHAnsi" w:cstheme="minorHAnsi"/>
        </w:rPr>
        <w:t> </w:t>
      </w:r>
      <w:r w:rsidRPr="00904FC8">
        <w:rPr>
          <w:rFonts w:asciiTheme="minorHAnsi" w:hAnsiTheme="minorHAnsi" w:cstheme="minorHAnsi"/>
        </w:rPr>
        <w:t>695/2024 Sb., ze dne 9. dubna 2024</w:t>
      </w:r>
    </w:p>
  </w:footnote>
  <w:footnote w:id="6">
    <w:p w:rsidR="00F33560" w:rsidRPr="006D20C0" w:rsidP="00F33560" w14:paraId="726A3A93" w14:textId="77777777">
      <w:pPr>
        <w:pStyle w:val="FootnoteText"/>
        <w:jc w:val="both"/>
      </w:pPr>
      <w:r>
        <w:rPr>
          <w:rStyle w:val="FootnoteReference"/>
        </w:rPr>
        <w:footnoteRef/>
      </w:r>
      <w:r>
        <w:t xml:space="preserve"> </w:t>
      </w:r>
      <w:r w:rsidRPr="005860DF">
        <w:t>https://sukl.gov.cz/vyrocni-zprava/vyrocni-zprava-sukl-2024/</w:t>
      </w:r>
    </w:p>
  </w:footnote>
  <w:footnote w:id="7">
    <w:p w:rsidR="003F660B" w:rsidRPr="00A24FE9" w:rsidP="003F660B" w14:paraId="1F4342A0" w14:textId="1A3B7496">
      <w:pPr>
        <w:pStyle w:val="FootnoteText"/>
        <w:rPr>
          <w:rFonts w:asciiTheme="minorHAnsi" w:hAnsiTheme="minorHAnsi" w:cstheme="minorHAnsi"/>
        </w:rPr>
      </w:pPr>
      <w:r w:rsidRPr="00A24FE9">
        <w:rPr>
          <w:rStyle w:val="FootnoteReference"/>
          <w:rFonts w:asciiTheme="minorHAnsi" w:hAnsiTheme="minorHAnsi" w:cstheme="minorHAnsi"/>
        </w:rPr>
        <w:footnoteRef/>
      </w:r>
      <w:r w:rsidRPr="00A24FE9">
        <w:rPr>
          <w:rFonts w:asciiTheme="minorHAnsi" w:hAnsiTheme="minorHAnsi" w:cstheme="minorHAnsi"/>
        </w:rPr>
        <w:t xml:space="preserve"> </w:t>
      </w:r>
      <w:r w:rsidRPr="00A24FE9" w:rsidR="00A24FE9">
        <w:rPr>
          <w:rFonts w:asciiTheme="minorHAnsi" w:hAnsiTheme="minorHAnsi" w:cstheme="minorHAnsi"/>
        </w:rPr>
        <w:t>Více viz</w:t>
      </w:r>
      <w:r w:rsidRPr="00A24FE9">
        <w:rPr>
          <w:rFonts w:asciiTheme="minorHAnsi" w:hAnsiTheme="minorHAnsi" w:cstheme="minorHAnsi"/>
        </w:rPr>
        <w:t xml:space="preserve"> Sdělení Komise Evropskému parlamentu, Radě, Evropskému hospodářskému a sociálnímu výboru a Výboru regionů: Farmaceutická strategie pro Evropu - </w:t>
      </w:r>
      <w:r w:rsidRPr="00A24FE9">
        <w:rPr>
          <w:rFonts w:asciiTheme="minorHAnsi" w:hAnsiTheme="minorHAnsi" w:cstheme="minorHAnsi"/>
        </w:rPr>
        <w:t>COM(</w:t>
      </w:r>
      <w:r w:rsidRPr="00A24FE9">
        <w:rPr>
          <w:rFonts w:asciiTheme="minorHAnsi" w:hAnsiTheme="minorHAnsi" w:cstheme="minorHAnsi"/>
        </w:rPr>
        <w:t>2020)</w:t>
      </w:r>
      <w:r w:rsidRPr="00A24FE9" w:rsidR="008523A2">
        <w:rPr>
          <w:rFonts w:asciiTheme="minorHAnsi" w:hAnsiTheme="minorHAnsi" w:cstheme="minorHAnsi"/>
        </w:rPr>
        <w:t xml:space="preserve">; </w:t>
      </w:r>
      <w:r w:rsidRPr="00A24FE9">
        <w:rPr>
          <w:rFonts w:asciiTheme="minorHAnsi" w:hAnsiTheme="minorHAnsi" w:cstheme="minorHAnsi"/>
        </w:rPr>
        <w:t>Rám</w:t>
      </w:r>
      <w:r w:rsidRPr="00A24FE9" w:rsidR="008523A2">
        <w:rPr>
          <w:rFonts w:asciiTheme="minorHAnsi" w:hAnsiTheme="minorHAnsi" w:cstheme="minorHAnsi"/>
        </w:rPr>
        <w:t>e</w:t>
      </w:r>
      <w:r w:rsidR="00A24FE9">
        <w:rPr>
          <w:rFonts w:asciiTheme="minorHAnsi" w:hAnsiTheme="minorHAnsi" w:cstheme="minorHAnsi"/>
        </w:rPr>
        <w:t>c</w:t>
      </w:r>
      <w:r w:rsidRPr="00A24FE9">
        <w:rPr>
          <w:rFonts w:asciiTheme="minorHAnsi" w:hAnsiTheme="minorHAnsi" w:cstheme="minorHAnsi"/>
        </w:rPr>
        <w:t xml:space="preserve"> pro posílení dostupnosti a bezpečnosti dodávek kritických léčivých přípravků, jakož i dostupnost a přístup k léčivým přípravkům společného zájmu a o změně nařízení (EU) 2024/795 (Critical Medicines Act) - COM(2025)</w:t>
      </w:r>
      <w:r w:rsidRPr="00A24FE9" w:rsidR="008523A2">
        <w:rPr>
          <w:rFonts w:asciiTheme="minorHAnsi" w:hAnsiTheme="minorHAnsi" w:cstheme="minorHAnsi"/>
        </w:rPr>
        <w:t xml:space="preserve"> a </w:t>
      </w:r>
      <w:r w:rsidR="00A24FE9">
        <w:rPr>
          <w:rFonts w:asciiTheme="minorHAnsi" w:hAnsiTheme="minorHAnsi" w:cstheme="minorHAnsi"/>
        </w:rPr>
        <w:t>Sektorová</w:t>
      </w:r>
      <w:r w:rsidRPr="00A24FE9">
        <w:rPr>
          <w:rFonts w:asciiTheme="minorHAnsi" w:hAnsiTheme="minorHAnsi" w:cstheme="minorHAnsi"/>
        </w:rPr>
        <w:t xml:space="preserve"> analýz</w:t>
      </w:r>
      <w:r w:rsidR="00A24FE9">
        <w:rPr>
          <w:rFonts w:asciiTheme="minorHAnsi" w:hAnsiTheme="minorHAnsi" w:cstheme="minorHAnsi"/>
        </w:rPr>
        <w:t>a</w:t>
      </w:r>
      <w:r w:rsidRPr="00A24FE9">
        <w:rPr>
          <w:rFonts w:asciiTheme="minorHAnsi" w:hAnsiTheme="minorHAnsi" w:cstheme="minorHAnsi"/>
        </w:rPr>
        <w:t xml:space="preserve"> farmaceutického průmyslu v České republice</w:t>
      </w:r>
    </w:p>
  </w:footnote>
  <w:footnote w:id="8">
    <w:p w:rsidR="00960C9E" w:rsidP="00960C9E" w14:paraId="4BD5EBDB" w14:textId="77777777">
      <w:pPr>
        <w:pStyle w:val="FootnoteText"/>
      </w:pPr>
      <w:r>
        <w:rPr>
          <w:rStyle w:val="FootnoteReference"/>
        </w:rPr>
        <w:footnoteRef/>
      </w:r>
      <w:r>
        <w:t xml:space="preserve"> K 1.1.2025</w:t>
      </w:r>
    </w:p>
  </w:footnote>
  <w:footnote w:id="9">
    <w:p w:rsidR="00960C9E" w:rsidP="00960C9E" w14:paraId="6F6B6616"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10">
    <w:p w:rsidR="00BC5FAD" w:rsidRPr="00BA76A7" w:rsidP="00805447" w14:paraId="0E85A55A" w14:textId="77777777">
      <w:pPr>
        <w:pStyle w:val="FootnoteText"/>
        <w:jc w:val="both"/>
        <w:rPr>
          <w:rFonts w:asciiTheme="minorHAnsi" w:hAnsiTheme="minorHAnsi"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asciiTheme="minorHAnsi" w:hAnsiTheme="minorHAnsi"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11">
    <w:p w:rsidR="00BC5FAD" w:rsidRPr="00BA76A7" w:rsidP="00805447" w14:paraId="38253866" w14:textId="77777777">
      <w:pPr>
        <w:pStyle w:val="FootnoteText"/>
        <w:jc w:val="both"/>
        <w:rPr>
          <w:rFonts w:asciiTheme="minorHAnsi" w:hAnsiTheme="minorHAnsi" w:cstheme="minorHAnsi"/>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w:t>
      </w:r>
      <w:r>
        <w:rPr>
          <w:rFonts w:asciiTheme="minorHAnsi" w:hAnsiTheme="minorHAnsi" w:cstheme="minorHAnsi"/>
          <w:sz w:val="18"/>
          <w:szCs w:val="18"/>
        </w:rPr>
        <w:br/>
      </w:r>
      <w:r w:rsidRPr="00BA76A7">
        <w:rPr>
          <w:rFonts w:asciiTheme="minorHAnsi" w:hAnsiTheme="minorHAnsi" w:cstheme="minorHAnsi"/>
          <w:sz w:val="18"/>
          <w:szCs w:val="18"/>
        </w:rPr>
        <w:t xml:space="preserve">i popis. </w:t>
      </w:r>
    </w:p>
  </w:footnote>
  <w:footnote w:id="12">
    <w:p w:rsidR="00BC5FAD" w:rsidRPr="009E28C4" w:rsidP="00805447" w14:paraId="06F17E92" w14:textId="77777777">
      <w:pPr>
        <w:pStyle w:val="FootnoteText"/>
        <w:jc w:val="both"/>
        <w:rPr>
          <w:rFonts w:ascii="Arial" w:hAnsi="Arial" w:cs="Arial"/>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13">
    <w:p w:rsidR="00960C9E" w:rsidP="00960C9E" w14:paraId="4109E5B3"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C5FAD" w14:paraId="2806918D" w14:textId="5564D2FF">
    <w:pPr>
      <w:pStyle w:val="Header"/>
    </w:pPr>
    <w:r>
      <w:rPr>
        <w:noProof/>
      </w:rPr>
      <w:drawing>
        <wp:anchor distT="0" distB="0" distL="114300" distR="114300" simplePos="0" relativeHeight="251658240" behindDoc="0" locked="0" layoutInCell="1" allowOverlap="1">
          <wp:simplePos x="0" y="0"/>
          <wp:positionH relativeFrom="margin">
            <wp:posOffset>3756660</wp:posOffset>
          </wp:positionH>
          <wp:positionV relativeFrom="paragraph">
            <wp:posOffset>169794</wp:posOffset>
          </wp:positionV>
          <wp:extent cx="2800350" cy="276225"/>
          <wp:effectExtent l="0" t="0" r="0" b="0"/>
          <wp:wrapSquare wrapText="bothSides"/>
          <wp:docPr id="36" name="obrázek 3"/>
          <wp:cNvGraphicFramePr/>
          <a:graphic xmlns:a="http://schemas.openxmlformats.org/drawingml/2006/main">
            <a:graphicData uri="http://schemas.openxmlformats.org/drawingml/2006/picture">
              <pic:pic xmlns:pic="http://schemas.openxmlformats.org/drawingml/2006/picture">
                <pic:nvPicPr>
                  <pic:cNvPr id="36"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extent cx="2798860" cy="587724"/>
          <wp:effectExtent l="0" t="0" r="1905" b="3175"/>
          <wp:docPr id="6" name="Obrázek 6"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891335" cy="607143"/>
                  </a:xfrm>
                  <a:prstGeom prst="rect">
                    <a:avLst/>
                  </a:prstGeom>
                </pic:spPr>
              </pic:pic>
            </a:graphicData>
          </a:graphic>
        </wp:inline>
      </w:drawing>
    </w:r>
  </w:p>
  <w:p w:rsidR="00BC5FAD" w14:paraId="1F0A9AA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C5FAD" w:rsidP="00B70D43" w14:paraId="62456BB2" w14:textId="77777777">
    <w:pPr>
      <w:pStyle w:val="Header"/>
      <w:jc w:val="right"/>
    </w:pPr>
    <w:r>
      <w:rPr>
        <w:noProof/>
      </w:rPr>
      <w:drawing>
        <wp:anchor distT="0" distB="0" distL="114300" distR="114300" simplePos="0" relativeHeight="251659264" behindDoc="0" locked="0" layoutInCell="1" allowOverlap="1">
          <wp:simplePos x="0" y="0"/>
          <wp:positionH relativeFrom="margin">
            <wp:posOffset>3631565</wp:posOffset>
          </wp:positionH>
          <wp:positionV relativeFrom="paragraph">
            <wp:posOffset>-29210</wp:posOffset>
          </wp:positionV>
          <wp:extent cx="2800350" cy="276225"/>
          <wp:effectExtent l="0" t="0" r="0" b="0"/>
          <wp:wrapSquare wrapText="bothSides"/>
          <wp:docPr id="37" name="obrázek 3"/>
          <wp:cNvGraphicFramePr/>
          <a:graphic xmlns:a="http://schemas.openxmlformats.org/drawingml/2006/main">
            <a:graphicData uri="http://schemas.openxmlformats.org/drawingml/2006/picture">
              <pic:pic xmlns:pic="http://schemas.openxmlformats.org/drawingml/2006/picture">
                <pic:nvPicPr>
                  <pic:cNvPr id="37"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FE36BD"/>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565D97"/>
    <w:multiLevelType w:val="hybridMultilevel"/>
    <w:tmpl w:val="6EC287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E2C51BC"/>
    <w:multiLevelType w:val="hybridMultilevel"/>
    <w:tmpl w:val="A3403E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360014F"/>
    <w:multiLevelType w:val="hybridMultilevel"/>
    <w:tmpl w:val="EA36DA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47A3D58"/>
    <w:multiLevelType w:val="hybridMultilevel"/>
    <w:tmpl w:val="1E1A48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7107FF4"/>
    <w:multiLevelType w:val="hybridMultilevel"/>
    <w:tmpl w:val="2AE26FD2"/>
    <w:lvl w:ilvl="0">
      <w:start w:val="1"/>
      <w:numFmt w:val="bullet"/>
      <w:lvlText w:val=""/>
      <w:lvlJc w:val="left"/>
      <w:pPr>
        <w:ind w:left="2061" w:hanging="360"/>
      </w:pPr>
      <w:rPr>
        <w:rFonts w:ascii="Symbol" w:hAnsi="Symbol" w:hint="default"/>
      </w:rPr>
    </w:lvl>
    <w:lvl w:ilvl="1" w:tentative="1">
      <w:start w:val="1"/>
      <w:numFmt w:val="bullet"/>
      <w:lvlText w:val="o"/>
      <w:lvlJc w:val="left"/>
      <w:pPr>
        <w:ind w:left="2781" w:hanging="360"/>
      </w:pPr>
      <w:rPr>
        <w:rFonts w:ascii="Courier New" w:hAnsi="Courier New" w:cs="Courier New" w:hint="default"/>
      </w:rPr>
    </w:lvl>
    <w:lvl w:ilvl="2" w:tentative="1">
      <w:start w:val="1"/>
      <w:numFmt w:val="bullet"/>
      <w:lvlText w:val=""/>
      <w:lvlJc w:val="left"/>
      <w:pPr>
        <w:ind w:left="3501" w:hanging="360"/>
      </w:pPr>
      <w:rPr>
        <w:rFonts w:ascii="Wingdings" w:hAnsi="Wingdings" w:hint="default"/>
      </w:rPr>
    </w:lvl>
    <w:lvl w:ilvl="3" w:tentative="1">
      <w:start w:val="1"/>
      <w:numFmt w:val="bullet"/>
      <w:lvlText w:val=""/>
      <w:lvlJc w:val="left"/>
      <w:pPr>
        <w:ind w:left="4221" w:hanging="360"/>
      </w:pPr>
      <w:rPr>
        <w:rFonts w:ascii="Symbol" w:hAnsi="Symbol" w:hint="default"/>
      </w:rPr>
    </w:lvl>
    <w:lvl w:ilvl="4" w:tentative="1">
      <w:start w:val="1"/>
      <w:numFmt w:val="bullet"/>
      <w:lvlText w:val="o"/>
      <w:lvlJc w:val="left"/>
      <w:pPr>
        <w:ind w:left="4941" w:hanging="360"/>
      </w:pPr>
      <w:rPr>
        <w:rFonts w:ascii="Courier New" w:hAnsi="Courier New" w:cs="Courier New" w:hint="default"/>
      </w:rPr>
    </w:lvl>
    <w:lvl w:ilvl="5" w:tentative="1">
      <w:start w:val="1"/>
      <w:numFmt w:val="bullet"/>
      <w:lvlText w:val=""/>
      <w:lvlJc w:val="left"/>
      <w:pPr>
        <w:ind w:left="5661" w:hanging="360"/>
      </w:pPr>
      <w:rPr>
        <w:rFonts w:ascii="Wingdings" w:hAnsi="Wingdings" w:hint="default"/>
      </w:rPr>
    </w:lvl>
    <w:lvl w:ilvl="6" w:tentative="1">
      <w:start w:val="1"/>
      <w:numFmt w:val="bullet"/>
      <w:lvlText w:val=""/>
      <w:lvlJc w:val="left"/>
      <w:pPr>
        <w:ind w:left="6381" w:hanging="360"/>
      </w:pPr>
      <w:rPr>
        <w:rFonts w:ascii="Symbol" w:hAnsi="Symbol" w:hint="default"/>
      </w:rPr>
    </w:lvl>
    <w:lvl w:ilvl="7" w:tentative="1">
      <w:start w:val="1"/>
      <w:numFmt w:val="bullet"/>
      <w:lvlText w:val="o"/>
      <w:lvlJc w:val="left"/>
      <w:pPr>
        <w:ind w:left="7101" w:hanging="360"/>
      </w:pPr>
      <w:rPr>
        <w:rFonts w:ascii="Courier New" w:hAnsi="Courier New" w:cs="Courier New" w:hint="default"/>
      </w:rPr>
    </w:lvl>
    <w:lvl w:ilvl="8" w:tentative="1">
      <w:start w:val="1"/>
      <w:numFmt w:val="bullet"/>
      <w:lvlText w:val=""/>
      <w:lvlJc w:val="left"/>
      <w:pPr>
        <w:ind w:left="7821" w:hanging="360"/>
      </w:pPr>
      <w:rPr>
        <w:rFonts w:ascii="Wingdings" w:hAnsi="Wingdings" w:hint="default"/>
      </w:rPr>
    </w:lvl>
  </w:abstractNum>
  <w:abstractNum w:abstractNumId="6">
    <w:nsid w:val="1A98641C"/>
    <w:multiLevelType w:val="hybridMultilevel"/>
    <w:tmpl w:val="89ECB656"/>
    <w:lvl w:ilvl="0">
      <w:start w:val="1"/>
      <w:numFmt w:val="bullet"/>
      <w:lvlText w:val=""/>
      <w:lvlJc w:val="left"/>
      <w:pPr>
        <w:ind w:left="776" w:hanging="360"/>
      </w:pPr>
      <w:rPr>
        <w:rFonts w:ascii="Symbol" w:hAnsi="Symbol" w:hint="default"/>
      </w:rPr>
    </w:lvl>
    <w:lvl w:ilvl="1" w:tentative="1">
      <w:start w:val="1"/>
      <w:numFmt w:val="bullet"/>
      <w:lvlText w:val="o"/>
      <w:lvlJc w:val="left"/>
      <w:pPr>
        <w:ind w:left="1496" w:hanging="360"/>
      </w:pPr>
      <w:rPr>
        <w:rFonts w:ascii="Courier New" w:hAnsi="Courier New" w:cs="Courier New" w:hint="default"/>
      </w:rPr>
    </w:lvl>
    <w:lvl w:ilvl="2" w:tentative="1">
      <w:start w:val="1"/>
      <w:numFmt w:val="bullet"/>
      <w:lvlText w:val=""/>
      <w:lvlJc w:val="left"/>
      <w:pPr>
        <w:ind w:left="2216" w:hanging="360"/>
      </w:pPr>
      <w:rPr>
        <w:rFonts w:ascii="Wingdings" w:hAnsi="Wingdings" w:hint="default"/>
      </w:rPr>
    </w:lvl>
    <w:lvl w:ilvl="3" w:tentative="1">
      <w:start w:val="1"/>
      <w:numFmt w:val="bullet"/>
      <w:lvlText w:val=""/>
      <w:lvlJc w:val="left"/>
      <w:pPr>
        <w:ind w:left="2936" w:hanging="360"/>
      </w:pPr>
      <w:rPr>
        <w:rFonts w:ascii="Symbol" w:hAnsi="Symbol" w:hint="default"/>
      </w:rPr>
    </w:lvl>
    <w:lvl w:ilvl="4" w:tentative="1">
      <w:start w:val="1"/>
      <w:numFmt w:val="bullet"/>
      <w:lvlText w:val="o"/>
      <w:lvlJc w:val="left"/>
      <w:pPr>
        <w:ind w:left="3656" w:hanging="360"/>
      </w:pPr>
      <w:rPr>
        <w:rFonts w:ascii="Courier New" w:hAnsi="Courier New" w:cs="Courier New" w:hint="default"/>
      </w:rPr>
    </w:lvl>
    <w:lvl w:ilvl="5" w:tentative="1">
      <w:start w:val="1"/>
      <w:numFmt w:val="bullet"/>
      <w:lvlText w:val=""/>
      <w:lvlJc w:val="left"/>
      <w:pPr>
        <w:ind w:left="4376" w:hanging="360"/>
      </w:pPr>
      <w:rPr>
        <w:rFonts w:ascii="Wingdings" w:hAnsi="Wingdings" w:hint="default"/>
      </w:rPr>
    </w:lvl>
    <w:lvl w:ilvl="6" w:tentative="1">
      <w:start w:val="1"/>
      <w:numFmt w:val="bullet"/>
      <w:lvlText w:val=""/>
      <w:lvlJc w:val="left"/>
      <w:pPr>
        <w:ind w:left="5096" w:hanging="360"/>
      </w:pPr>
      <w:rPr>
        <w:rFonts w:ascii="Symbol" w:hAnsi="Symbol" w:hint="default"/>
      </w:rPr>
    </w:lvl>
    <w:lvl w:ilvl="7" w:tentative="1">
      <w:start w:val="1"/>
      <w:numFmt w:val="bullet"/>
      <w:lvlText w:val="o"/>
      <w:lvlJc w:val="left"/>
      <w:pPr>
        <w:ind w:left="5816" w:hanging="360"/>
      </w:pPr>
      <w:rPr>
        <w:rFonts w:ascii="Courier New" w:hAnsi="Courier New" w:cs="Courier New" w:hint="default"/>
      </w:rPr>
    </w:lvl>
    <w:lvl w:ilvl="8" w:tentative="1">
      <w:start w:val="1"/>
      <w:numFmt w:val="bullet"/>
      <w:lvlText w:val=""/>
      <w:lvlJc w:val="left"/>
      <w:pPr>
        <w:ind w:left="6536" w:hanging="360"/>
      </w:pPr>
      <w:rPr>
        <w:rFonts w:ascii="Wingdings" w:hAnsi="Wingdings" w:hint="default"/>
      </w:rPr>
    </w:lvl>
  </w:abstractNum>
  <w:abstractNum w:abstractNumId="7">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8">
    <w:nsid w:val="1CCF5854"/>
    <w:multiLevelType w:val="hybridMultilevel"/>
    <w:tmpl w:val="9BBC173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F5B1C49"/>
    <w:multiLevelType w:val="hybridMultilevel"/>
    <w:tmpl w:val="AA703FB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5F31910"/>
    <w:multiLevelType w:val="hybridMultilevel"/>
    <w:tmpl w:val="53BA65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2D682F99"/>
    <w:multiLevelType w:val="hybridMultilevel"/>
    <w:tmpl w:val="68E0EE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2E0F208E"/>
    <w:multiLevelType w:val="hybridMultilevel"/>
    <w:tmpl w:val="D7A8D77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30833C42"/>
    <w:multiLevelType w:val="hybridMultilevel"/>
    <w:tmpl w:val="0500210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24A6DE9"/>
    <w:multiLevelType w:val="hybridMultilevel"/>
    <w:tmpl w:val="E1FC2A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9187ADC"/>
    <w:multiLevelType w:val="hybridMultilevel"/>
    <w:tmpl w:val="28CEF4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3B352C54"/>
    <w:multiLevelType w:val="hybridMultilevel"/>
    <w:tmpl w:val="9EDCFB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BB1401F"/>
    <w:multiLevelType w:val="hybridMultilevel"/>
    <w:tmpl w:val="624ED45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3BE04707"/>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3C40158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40374460"/>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4656151C"/>
    <w:multiLevelType w:val="hybridMultilevel"/>
    <w:tmpl w:val="F338586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4BD33395"/>
    <w:multiLevelType w:val="multilevel"/>
    <w:tmpl w:val="12CA57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4C4F24B8"/>
    <w:multiLevelType w:val="hybridMultilevel"/>
    <w:tmpl w:val="CC7C5A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521E21F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55D33814"/>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56442F7E"/>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749475A"/>
    <w:multiLevelType w:val="hybridMultilevel"/>
    <w:tmpl w:val="79AE7C5A"/>
    <w:lvl w:ilvl="0">
      <w:start w:val="0"/>
      <w:numFmt w:val="bullet"/>
      <w:lvlText w:val="-"/>
      <w:lvlJc w:val="left"/>
      <w:pPr>
        <w:ind w:left="720" w:hanging="360"/>
      </w:pPr>
      <w:rPr>
        <w:rFonts w:ascii="Calibri" w:hAnsi="Calibri" w:eastAsiaTheme="minorEastAsia" w:cs="Aria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30">
    <w:nsid w:val="60811015"/>
    <w:multiLevelType w:val="hybridMultilevel"/>
    <w:tmpl w:val="3836D6B4"/>
    <w:lvl w:ilvl="0">
      <w:start w:val="1"/>
      <w:numFmt w:val="bullet"/>
      <w:lvlText w:val=""/>
      <w:lvlJc w:val="left"/>
      <w:pPr>
        <w:ind w:left="720" w:hanging="360"/>
      </w:pPr>
      <w:rPr>
        <w:rFonts w:ascii="Symbol" w:hAnsi="Symbol" w:hint="default"/>
      </w:rPr>
    </w:lvl>
    <w:lvl w:ilvl="1">
      <w:start w:val="0"/>
      <w:numFmt w:val="bullet"/>
      <w:lvlText w:val="–"/>
      <w:lvlJc w:val="left"/>
      <w:pPr>
        <w:ind w:left="1440" w:hanging="360"/>
      </w:pPr>
      <w:rPr>
        <w:rFonts w:ascii="Times New Roman" w:hAnsi="Times New Roman" w:eastAsiaTheme="minorEastAsia"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65221A1D"/>
    <w:multiLevelType w:val="hybridMultilevel"/>
    <w:tmpl w:val="512A0D70"/>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65DB6063"/>
    <w:multiLevelType w:val="hybridMultilevel"/>
    <w:tmpl w:val="E3F2768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3">
    <w:nsid w:val="670F672D"/>
    <w:multiLevelType w:val="hybridMultilevel"/>
    <w:tmpl w:val="7F5A1A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69181849"/>
    <w:multiLevelType w:val="hybridMultilevel"/>
    <w:tmpl w:val="127EC096"/>
    <w:lvl w:ilvl="0">
      <w:start w:val="1"/>
      <w:numFmt w:val="decimal"/>
      <w:lvlText w:val="%1."/>
      <w:lvlJc w:val="left"/>
      <w:pPr>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6">
    <w:nsid w:val="6FFA2857"/>
    <w:multiLevelType w:val="multilevel"/>
    <w:tmpl w:val="A7482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340CEB"/>
    <w:multiLevelType w:val="hybridMultilevel"/>
    <w:tmpl w:val="9ABC92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8">
    <w:nsid w:val="724178E8"/>
    <w:multiLevelType w:val="hybridMultilevel"/>
    <w:tmpl w:val="7294F246"/>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805"/>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39">
    <w:nsid w:val="73C04C4E"/>
    <w:multiLevelType w:val="hybridMultilevel"/>
    <w:tmpl w:val="A51C9C8C"/>
    <w:lvl w:ilvl="0">
      <w:start w:val="1"/>
      <w:numFmt w:val="bullet"/>
      <w:lvlText w:val="-"/>
      <w:lvlJc w:val="left"/>
      <w:pPr>
        <w:ind w:left="1080" w:hanging="360"/>
      </w:pPr>
      <w:rPr>
        <w:rFonts w:ascii="Arial" w:eastAsia="Times New Roman" w:hAnsi="Arial" w:cs="Aria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0">
    <w:nsid w:val="73EA2242"/>
    <w:multiLevelType w:val="hybridMultilevel"/>
    <w:tmpl w:val="0B32EF3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nsid w:val="74BF234C"/>
    <w:multiLevelType w:val="hybridMultilevel"/>
    <w:tmpl w:val="9DBE2240"/>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2">
    <w:nsid w:val="76D524BE"/>
    <w:multiLevelType w:val="hybridMultilevel"/>
    <w:tmpl w:val="968E516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43">
    <w:nsid w:val="7FED0531"/>
    <w:multiLevelType w:val="hybridMultilevel"/>
    <w:tmpl w:val="C66485B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8"/>
  </w:num>
  <w:num w:numId="2">
    <w:abstractNumId w:val="39"/>
  </w:num>
  <w:num w:numId="3">
    <w:abstractNumId w:val="31"/>
  </w:num>
  <w:num w:numId="4">
    <w:abstractNumId w:val="26"/>
  </w:num>
  <w:num w:numId="5">
    <w:abstractNumId w:val="0"/>
  </w:num>
  <w:num w:numId="6">
    <w:abstractNumId w:val="28"/>
  </w:num>
  <w:num w:numId="7">
    <w:abstractNumId w:val="19"/>
  </w:num>
  <w:num w:numId="8">
    <w:abstractNumId w:val="35"/>
  </w:num>
  <w:num w:numId="9">
    <w:abstractNumId w:val="21"/>
  </w:num>
  <w:num w:numId="10">
    <w:abstractNumId w:val="38"/>
  </w:num>
  <w:num w:numId="11">
    <w:abstractNumId w:val="27"/>
  </w:num>
  <w:num w:numId="12">
    <w:abstractNumId w:val="20"/>
  </w:num>
  <w:num w:numId="13">
    <w:abstractNumId w:val="34"/>
  </w:num>
  <w:num w:numId="14">
    <w:abstractNumId w:val="12"/>
  </w:num>
  <w:num w:numId="15">
    <w:abstractNumId w:val="29"/>
  </w:num>
  <w:num w:numId="16">
    <w:abstractNumId w:val="7"/>
  </w:num>
  <w:num w:numId="17">
    <w:abstractNumId w:val="22"/>
  </w:num>
  <w:num w:numId="18">
    <w:abstractNumId w:val="25"/>
  </w:num>
  <w:num w:numId="19">
    <w:abstractNumId w:val="30"/>
  </w:num>
  <w:num w:numId="20">
    <w:abstractNumId w:val="37"/>
  </w:num>
  <w:num w:numId="21">
    <w:abstractNumId w:val="8"/>
  </w:num>
  <w:num w:numId="22">
    <w:abstractNumId w:val="4"/>
  </w:num>
  <w:num w:numId="23">
    <w:abstractNumId w:val="32"/>
  </w:num>
  <w:num w:numId="24">
    <w:abstractNumId w:val="42"/>
  </w:num>
  <w:num w:numId="25">
    <w:abstractNumId w:val="16"/>
  </w:num>
  <w:num w:numId="26">
    <w:abstractNumId w:val="3"/>
  </w:num>
  <w:num w:numId="27">
    <w:abstractNumId w:val="9"/>
  </w:num>
  <w:num w:numId="28">
    <w:abstractNumId w:val="5"/>
  </w:num>
  <w:num w:numId="29">
    <w:abstractNumId w:val="43"/>
  </w:num>
  <w:num w:numId="30">
    <w:abstractNumId w:val="15"/>
  </w:num>
  <w:num w:numId="31">
    <w:abstractNumId w:val="41"/>
  </w:num>
  <w:num w:numId="32">
    <w:abstractNumId w:val="1"/>
  </w:num>
  <w:num w:numId="33">
    <w:abstractNumId w:val="40"/>
  </w:num>
  <w:num w:numId="34">
    <w:abstractNumId w:val="23"/>
  </w:num>
  <w:num w:numId="35">
    <w:abstractNumId w:val="10"/>
  </w:num>
  <w:num w:numId="36">
    <w:abstractNumId w:val="33"/>
  </w:num>
  <w:num w:numId="37">
    <w:abstractNumId w:val="11"/>
  </w:num>
  <w:num w:numId="38">
    <w:abstractNumId w:val="24"/>
  </w:num>
  <w:num w:numId="39">
    <w:abstractNumId w:val="13"/>
  </w:num>
  <w:num w:numId="40">
    <w:abstractNumId w:val="17"/>
  </w:num>
  <w:num w:numId="41">
    <w:abstractNumId w:val="2"/>
  </w:num>
  <w:num w:numId="42">
    <w:abstractNumId w:val="6"/>
  </w:num>
  <w:num w:numId="43">
    <w:abstractNumId w:val="36"/>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0"/>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A83"/>
    <w:rsid w:val="0000098E"/>
    <w:rsid w:val="00001DE2"/>
    <w:rsid w:val="00002D80"/>
    <w:rsid w:val="0000311B"/>
    <w:rsid w:val="00004248"/>
    <w:rsid w:val="00005689"/>
    <w:rsid w:val="00006313"/>
    <w:rsid w:val="000063A0"/>
    <w:rsid w:val="00010001"/>
    <w:rsid w:val="00010F30"/>
    <w:rsid w:val="00012A76"/>
    <w:rsid w:val="0001305C"/>
    <w:rsid w:val="00013249"/>
    <w:rsid w:val="00013863"/>
    <w:rsid w:val="000148CC"/>
    <w:rsid w:val="00017908"/>
    <w:rsid w:val="00023DE8"/>
    <w:rsid w:val="0002436D"/>
    <w:rsid w:val="0002474D"/>
    <w:rsid w:val="0002662D"/>
    <w:rsid w:val="00030699"/>
    <w:rsid w:val="00030F8F"/>
    <w:rsid w:val="00031090"/>
    <w:rsid w:val="000318C3"/>
    <w:rsid w:val="000359D6"/>
    <w:rsid w:val="00040584"/>
    <w:rsid w:val="000510E2"/>
    <w:rsid w:val="00051537"/>
    <w:rsid w:val="00051F28"/>
    <w:rsid w:val="00052636"/>
    <w:rsid w:val="00052E3C"/>
    <w:rsid w:val="00054357"/>
    <w:rsid w:val="0005550D"/>
    <w:rsid w:val="00056EC7"/>
    <w:rsid w:val="00057517"/>
    <w:rsid w:val="00057B0D"/>
    <w:rsid w:val="00062FC2"/>
    <w:rsid w:val="00064989"/>
    <w:rsid w:val="0006569D"/>
    <w:rsid w:val="00066716"/>
    <w:rsid w:val="00071BF1"/>
    <w:rsid w:val="00072736"/>
    <w:rsid w:val="000732A2"/>
    <w:rsid w:val="0007691B"/>
    <w:rsid w:val="00076E8D"/>
    <w:rsid w:val="00080AAE"/>
    <w:rsid w:val="00080F67"/>
    <w:rsid w:val="00082806"/>
    <w:rsid w:val="00092A0E"/>
    <w:rsid w:val="000931F3"/>
    <w:rsid w:val="000942B9"/>
    <w:rsid w:val="000947D5"/>
    <w:rsid w:val="00095A9C"/>
    <w:rsid w:val="0009660E"/>
    <w:rsid w:val="00096F4F"/>
    <w:rsid w:val="0009760A"/>
    <w:rsid w:val="000A034C"/>
    <w:rsid w:val="000A1F02"/>
    <w:rsid w:val="000A5108"/>
    <w:rsid w:val="000A517C"/>
    <w:rsid w:val="000A52FC"/>
    <w:rsid w:val="000A7CE0"/>
    <w:rsid w:val="000B02A9"/>
    <w:rsid w:val="000B1398"/>
    <w:rsid w:val="000B337C"/>
    <w:rsid w:val="000B370C"/>
    <w:rsid w:val="000B3E6F"/>
    <w:rsid w:val="000B5ED2"/>
    <w:rsid w:val="000B5F46"/>
    <w:rsid w:val="000B606F"/>
    <w:rsid w:val="000B6238"/>
    <w:rsid w:val="000B68EE"/>
    <w:rsid w:val="000B6A04"/>
    <w:rsid w:val="000B6D61"/>
    <w:rsid w:val="000C28CF"/>
    <w:rsid w:val="000C5428"/>
    <w:rsid w:val="000D0D80"/>
    <w:rsid w:val="000D3852"/>
    <w:rsid w:val="000D700A"/>
    <w:rsid w:val="000E06E9"/>
    <w:rsid w:val="000E0CB2"/>
    <w:rsid w:val="000E105B"/>
    <w:rsid w:val="000E1697"/>
    <w:rsid w:val="000E1845"/>
    <w:rsid w:val="000E3DFE"/>
    <w:rsid w:val="000E4AA3"/>
    <w:rsid w:val="000E4F28"/>
    <w:rsid w:val="000E6BF6"/>
    <w:rsid w:val="000E6D09"/>
    <w:rsid w:val="000F7244"/>
    <w:rsid w:val="00100939"/>
    <w:rsid w:val="001014E7"/>
    <w:rsid w:val="0010188B"/>
    <w:rsid w:val="0010449C"/>
    <w:rsid w:val="00105B49"/>
    <w:rsid w:val="001070F2"/>
    <w:rsid w:val="001115BB"/>
    <w:rsid w:val="00113DFB"/>
    <w:rsid w:val="001144B6"/>
    <w:rsid w:val="00121754"/>
    <w:rsid w:val="00121D6C"/>
    <w:rsid w:val="00121E7C"/>
    <w:rsid w:val="00125280"/>
    <w:rsid w:val="00131186"/>
    <w:rsid w:val="0013137A"/>
    <w:rsid w:val="00131713"/>
    <w:rsid w:val="0013258F"/>
    <w:rsid w:val="00134855"/>
    <w:rsid w:val="00134DC4"/>
    <w:rsid w:val="00134F5D"/>
    <w:rsid w:val="00136BA7"/>
    <w:rsid w:val="001403AB"/>
    <w:rsid w:val="00141064"/>
    <w:rsid w:val="00142562"/>
    <w:rsid w:val="00143264"/>
    <w:rsid w:val="00144107"/>
    <w:rsid w:val="00145CDB"/>
    <w:rsid w:val="00151899"/>
    <w:rsid w:val="001532FF"/>
    <w:rsid w:val="00153E93"/>
    <w:rsid w:val="00154CEE"/>
    <w:rsid w:val="001555A2"/>
    <w:rsid w:val="0016022A"/>
    <w:rsid w:val="001604A8"/>
    <w:rsid w:val="001611F4"/>
    <w:rsid w:val="00163AE8"/>
    <w:rsid w:val="001660C6"/>
    <w:rsid w:val="00173234"/>
    <w:rsid w:val="001742F6"/>
    <w:rsid w:val="00174A97"/>
    <w:rsid w:val="001750B8"/>
    <w:rsid w:val="001753C4"/>
    <w:rsid w:val="00181217"/>
    <w:rsid w:val="00183C94"/>
    <w:rsid w:val="00184C9A"/>
    <w:rsid w:val="00187463"/>
    <w:rsid w:val="00190167"/>
    <w:rsid w:val="00190268"/>
    <w:rsid w:val="001938DE"/>
    <w:rsid w:val="00193C77"/>
    <w:rsid w:val="00193EC8"/>
    <w:rsid w:val="00195971"/>
    <w:rsid w:val="001A1B04"/>
    <w:rsid w:val="001A3CC6"/>
    <w:rsid w:val="001A4DBE"/>
    <w:rsid w:val="001A5435"/>
    <w:rsid w:val="001A750A"/>
    <w:rsid w:val="001B2188"/>
    <w:rsid w:val="001B462F"/>
    <w:rsid w:val="001B5433"/>
    <w:rsid w:val="001C22C8"/>
    <w:rsid w:val="001C2EB9"/>
    <w:rsid w:val="001C403B"/>
    <w:rsid w:val="001C462C"/>
    <w:rsid w:val="001D05AD"/>
    <w:rsid w:val="001D0B63"/>
    <w:rsid w:val="001D2614"/>
    <w:rsid w:val="001D3B85"/>
    <w:rsid w:val="001D3E5B"/>
    <w:rsid w:val="001D3F36"/>
    <w:rsid w:val="001D6E7A"/>
    <w:rsid w:val="001E05F2"/>
    <w:rsid w:val="001E0AB0"/>
    <w:rsid w:val="001E12C4"/>
    <w:rsid w:val="001E2A8B"/>
    <w:rsid w:val="001E3421"/>
    <w:rsid w:val="001E3856"/>
    <w:rsid w:val="001E3A6B"/>
    <w:rsid w:val="001E477E"/>
    <w:rsid w:val="001E658C"/>
    <w:rsid w:val="001F1AA1"/>
    <w:rsid w:val="001F6E6F"/>
    <w:rsid w:val="002009B2"/>
    <w:rsid w:val="00204B9C"/>
    <w:rsid w:val="00204FE6"/>
    <w:rsid w:val="002066BF"/>
    <w:rsid w:val="00207CAE"/>
    <w:rsid w:val="00214046"/>
    <w:rsid w:val="00214379"/>
    <w:rsid w:val="00214782"/>
    <w:rsid w:val="00216758"/>
    <w:rsid w:val="00216AE1"/>
    <w:rsid w:val="00217197"/>
    <w:rsid w:val="00221999"/>
    <w:rsid w:val="002223DF"/>
    <w:rsid w:val="0023076A"/>
    <w:rsid w:val="00234007"/>
    <w:rsid w:val="002426F9"/>
    <w:rsid w:val="00243E83"/>
    <w:rsid w:val="002462CC"/>
    <w:rsid w:val="0024670E"/>
    <w:rsid w:val="00246F85"/>
    <w:rsid w:val="0024762C"/>
    <w:rsid w:val="002478FD"/>
    <w:rsid w:val="00247CC2"/>
    <w:rsid w:val="00250C92"/>
    <w:rsid w:val="0025329C"/>
    <w:rsid w:val="0025538A"/>
    <w:rsid w:val="00255D45"/>
    <w:rsid w:val="00261AF9"/>
    <w:rsid w:val="002622F1"/>
    <w:rsid w:val="00263231"/>
    <w:rsid w:val="00264169"/>
    <w:rsid w:val="0026780C"/>
    <w:rsid w:val="002740A5"/>
    <w:rsid w:val="00276187"/>
    <w:rsid w:val="002769F0"/>
    <w:rsid w:val="00276C44"/>
    <w:rsid w:val="00276C68"/>
    <w:rsid w:val="00277B0F"/>
    <w:rsid w:val="0028684C"/>
    <w:rsid w:val="002902A0"/>
    <w:rsid w:val="00292A6E"/>
    <w:rsid w:val="0029341B"/>
    <w:rsid w:val="0029518D"/>
    <w:rsid w:val="00295537"/>
    <w:rsid w:val="002955D3"/>
    <w:rsid w:val="002A2836"/>
    <w:rsid w:val="002A2E77"/>
    <w:rsid w:val="002A6A8B"/>
    <w:rsid w:val="002A7EAD"/>
    <w:rsid w:val="002B0729"/>
    <w:rsid w:val="002B07F1"/>
    <w:rsid w:val="002B1F4C"/>
    <w:rsid w:val="002B1FFD"/>
    <w:rsid w:val="002B64D7"/>
    <w:rsid w:val="002B717D"/>
    <w:rsid w:val="002C1126"/>
    <w:rsid w:val="002C2186"/>
    <w:rsid w:val="002C5622"/>
    <w:rsid w:val="002C6AA7"/>
    <w:rsid w:val="002C74BA"/>
    <w:rsid w:val="002C7A22"/>
    <w:rsid w:val="002D1D8E"/>
    <w:rsid w:val="002D5832"/>
    <w:rsid w:val="002D5988"/>
    <w:rsid w:val="002E058B"/>
    <w:rsid w:val="002E205C"/>
    <w:rsid w:val="002E238E"/>
    <w:rsid w:val="002E2404"/>
    <w:rsid w:val="002E250A"/>
    <w:rsid w:val="002F2512"/>
    <w:rsid w:val="002F519A"/>
    <w:rsid w:val="002F59A2"/>
    <w:rsid w:val="002F5D31"/>
    <w:rsid w:val="002F7BD5"/>
    <w:rsid w:val="00300372"/>
    <w:rsid w:val="00301C5E"/>
    <w:rsid w:val="00301D63"/>
    <w:rsid w:val="0030394F"/>
    <w:rsid w:val="00303D9D"/>
    <w:rsid w:val="00305124"/>
    <w:rsid w:val="00306FEF"/>
    <w:rsid w:val="0031010D"/>
    <w:rsid w:val="003107E3"/>
    <w:rsid w:val="00316941"/>
    <w:rsid w:val="003221C0"/>
    <w:rsid w:val="0032378B"/>
    <w:rsid w:val="003238C0"/>
    <w:rsid w:val="003260C7"/>
    <w:rsid w:val="00327819"/>
    <w:rsid w:val="00327E19"/>
    <w:rsid w:val="003325EC"/>
    <w:rsid w:val="00332631"/>
    <w:rsid w:val="00333706"/>
    <w:rsid w:val="00333CEA"/>
    <w:rsid w:val="003351A8"/>
    <w:rsid w:val="0034008C"/>
    <w:rsid w:val="00345589"/>
    <w:rsid w:val="00351288"/>
    <w:rsid w:val="003514BC"/>
    <w:rsid w:val="00354D9C"/>
    <w:rsid w:val="00362598"/>
    <w:rsid w:val="003626CC"/>
    <w:rsid w:val="0036345C"/>
    <w:rsid w:val="00363AC0"/>
    <w:rsid w:val="00364899"/>
    <w:rsid w:val="00366BB9"/>
    <w:rsid w:val="00366D4C"/>
    <w:rsid w:val="00367870"/>
    <w:rsid w:val="00370570"/>
    <w:rsid w:val="00370723"/>
    <w:rsid w:val="00371E45"/>
    <w:rsid w:val="003724DD"/>
    <w:rsid w:val="0037292A"/>
    <w:rsid w:val="00372C65"/>
    <w:rsid w:val="00374354"/>
    <w:rsid w:val="00374E07"/>
    <w:rsid w:val="003751A6"/>
    <w:rsid w:val="003754E9"/>
    <w:rsid w:val="003803DE"/>
    <w:rsid w:val="00381A9C"/>
    <w:rsid w:val="0038503D"/>
    <w:rsid w:val="00385ECD"/>
    <w:rsid w:val="00386089"/>
    <w:rsid w:val="0039103C"/>
    <w:rsid w:val="00391DF8"/>
    <w:rsid w:val="00391EE1"/>
    <w:rsid w:val="00392E10"/>
    <w:rsid w:val="00392E82"/>
    <w:rsid w:val="0039335F"/>
    <w:rsid w:val="00394522"/>
    <w:rsid w:val="00394564"/>
    <w:rsid w:val="00394BEB"/>
    <w:rsid w:val="0039538F"/>
    <w:rsid w:val="00396DC4"/>
    <w:rsid w:val="003A04AF"/>
    <w:rsid w:val="003A14F4"/>
    <w:rsid w:val="003A4D32"/>
    <w:rsid w:val="003A4E97"/>
    <w:rsid w:val="003A5311"/>
    <w:rsid w:val="003A6FEB"/>
    <w:rsid w:val="003B08CD"/>
    <w:rsid w:val="003B0CC0"/>
    <w:rsid w:val="003B1CE4"/>
    <w:rsid w:val="003B2321"/>
    <w:rsid w:val="003B2C66"/>
    <w:rsid w:val="003B3165"/>
    <w:rsid w:val="003B3DF7"/>
    <w:rsid w:val="003B657A"/>
    <w:rsid w:val="003B74D4"/>
    <w:rsid w:val="003B7BA5"/>
    <w:rsid w:val="003C11DE"/>
    <w:rsid w:val="003C2662"/>
    <w:rsid w:val="003C27AD"/>
    <w:rsid w:val="003C27CB"/>
    <w:rsid w:val="003C3C23"/>
    <w:rsid w:val="003C6060"/>
    <w:rsid w:val="003D21AA"/>
    <w:rsid w:val="003D325F"/>
    <w:rsid w:val="003D5302"/>
    <w:rsid w:val="003D5AFD"/>
    <w:rsid w:val="003D7C99"/>
    <w:rsid w:val="003E11B8"/>
    <w:rsid w:val="003E2201"/>
    <w:rsid w:val="003E3ECC"/>
    <w:rsid w:val="003E48F6"/>
    <w:rsid w:val="003E4D9E"/>
    <w:rsid w:val="003E67E2"/>
    <w:rsid w:val="003E6ECD"/>
    <w:rsid w:val="003F146E"/>
    <w:rsid w:val="003F233A"/>
    <w:rsid w:val="003F27D5"/>
    <w:rsid w:val="003F3549"/>
    <w:rsid w:val="003F56DF"/>
    <w:rsid w:val="003F660B"/>
    <w:rsid w:val="003F66B0"/>
    <w:rsid w:val="00400E87"/>
    <w:rsid w:val="004014CB"/>
    <w:rsid w:val="00402DC7"/>
    <w:rsid w:val="004032F8"/>
    <w:rsid w:val="00404BE0"/>
    <w:rsid w:val="004052CF"/>
    <w:rsid w:val="00407113"/>
    <w:rsid w:val="00410B2A"/>
    <w:rsid w:val="0041309A"/>
    <w:rsid w:val="00413675"/>
    <w:rsid w:val="00413A88"/>
    <w:rsid w:val="00414378"/>
    <w:rsid w:val="00414626"/>
    <w:rsid w:val="004153D0"/>
    <w:rsid w:val="00417205"/>
    <w:rsid w:val="004212A0"/>
    <w:rsid w:val="004229EC"/>
    <w:rsid w:val="004229F7"/>
    <w:rsid w:val="00423547"/>
    <w:rsid w:val="004238FA"/>
    <w:rsid w:val="0042458D"/>
    <w:rsid w:val="004249F9"/>
    <w:rsid w:val="00424AFC"/>
    <w:rsid w:val="0042534B"/>
    <w:rsid w:val="0042669A"/>
    <w:rsid w:val="00427532"/>
    <w:rsid w:val="00427963"/>
    <w:rsid w:val="00430BD9"/>
    <w:rsid w:val="004320D9"/>
    <w:rsid w:val="00432A30"/>
    <w:rsid w:val="0043578C"/>
    <w:rsid w:val="00436974"/>
    <w:rsid w:val="00436BF7"/>
    <w:rsid w:val="00440EEF"/>
    <w:rsid w:val="00441AB7"/>
    <w:rsid w:val="00444261"/>
    <w:rsid w:val="004569B2"/>
    <w:rsid w:val="004570BA"/>
    <w:rsid w:val="00462E06"/>
    <w:rsid w:val="00465AC3"/>
    <w:rsid w:val="004665A6"/>
    <w:rsid w:val="00467622"/>
    <w:rsid w:val="00467813"/>
    <w:rsid w:val="00473144"/>
    <w:rsid w:val="0047352A"/>
    <w:rsid w:val="0047374E"/>
    <w:rsid w:val="00473ECD"/>
    <w:rsid w:val="004748A2"/>
    <w:rsid w:val="00482E2B"/>
    <w:rsid w:val="00483C1D"/>
    <w:rsid w:val="00483FD1"/>
    <w:rsid w:val="0048430B"/>
    <w:rsid w:val="0048508C"/>
    <w:rsid w:val="004863E8"/>
    <w:rsid w:val="00492CCC"/>
    <w:rsid w:val="004941B8"/>
    <w:rsid w:val="00494FAE"/>
    <w:rsid w:val="00496042"/>
    <w:rsid w:val="00496E09"/>
    <w:rsid w:val="00497A51"/>
    <w:rsid w:val="00497E9E"/>
    <w:rsid w:val="004A01C1"/>
    <w:rsid w:val="004A0960"/>
    <w:rsid w:val="004A0D2E"/>
    <w:rsid w:val="004A1562"/>
    <w:rsid w:val="004A2629"/>
    <w:rsid w:val="004A33EB"/>
    <w:rsid w:val="004A6ABB"/>
    <w:rsid w:val="004B029B"/>
    <w:rsid w:val="004B05A0"/>
    <w:rsid w:val="004B25AB"/>
    <w:rsid w:val="004B3EC6"/>
    <w:rsid w:val="004B6132"/>
    <w:rsid w:val="004B6714"/>
    <w:rsid w:val="004C28E3"/>
    <w:rsid w:val="004C4E6B"/>
    <w:rsid w:val="004D20C9"/>
    <w:rsid w:val="004D338D"/>
    <w:rsid w:val="004D5446"/>
    <w:rsid w:val="004D6D79"/>
    <w:rsid w:val="004D6FFE"/>
    <w:rsid w:val="004E0420"/>
    <w:rsid w:val="004E1D76"/>
    <w:rsid w:val="004E2470"/>
    <w:rsid w:val="004E6C42"/>
    <w:rsid w:val="004E70C4"/>
    <w:rsid w:val="004E7596"/>
    <w:rsid w:val="004F1AA3"/>
    <w:rsid w:val="004F1C6E"/>
    <w:rsid w:val="004F4216"/>
    <w:rsid w:val="004F4ADE"/>
    <w:rsid w:val="004F621F"/>
    <w:rsid w:val="004F6301"/>
    <w:rsid w:val="004F6833"/>
    <w:rsid w:val="004F703A"/>
    <w:rsid w:val="004F7AAF"/>
    <w:rsid w:val="00500EAC"/>
    <w:rsid w:val="00502353"/>
    <w:rsid w:val="00502A80"/>
    <w:rsid w:val="00502BDD"/>
    <w:rsid w:val="005046A7"/>
    <w:rsid w:val="00504EE7"/>
    <w:rsid w:val="005056A3"/>
    <w:rsid w:val="00505A67"/>
    <w:rsid w:val="005103BA"/>
    <w:rsid w:val="00510C0D"/>
    <w:rsid w:val="00510F8E"/>
    <w:rsid w:val="00512505"/>
    <w:rsid w:val="00514149"/>
    <w:rsid w:val="00516780"/>
    <w:rsid w:val="00520C43"/>
    <w:rsid w:val="00521A1A"/>
    <w:rsid w:val="00521B69"/>
    <w:rsid w:val="00522AA6"/>
    <w:rsid w:val="00524511"/>
    <w:rsid w:val="00526A31"/>
    <w:rsid w:val="005311D2"/>
    <w:rsid w:val="00532DB9"/>
    <w:rsid w:val="005348D2"/>
    <w:rsid w:val="00535653"/>
    <w:rsid w:val="00536704"/>
    <w:rsid w:val="005417DF"/>
    <w:rsid w:val="00541FEA"/>
    <w:rsid w:val="00542249"/>
    <w:rsid w:val="00543B33"/>
    <w:rsid w:val="00544084"/>
    <w:rsid w:val="00545E3C"/>
    <w:rsid w:val="00546E7A"/>
    <w:rsid w:val="005511CB"/>
    <w:rsid w:val="0055190F"/>
    <w:rsid w:val="00555583"/>
    <w:rsid w:val="00555C7D"/>
    <w:rsid w:val="005566E2"/>
    <w:rsid w:val="00562E34"/>
    <w:rsid w:val="00563F63"/>
    <w:rsid w:val="00564925"/>
    <w:rsid w:val="00565BF1"/>
    <w:rsid w:val="00567B23"/>
    <w:rsid w:val="0057489C"/>
    <w:rsid w:val="005759E7"/>
    <w:rsid w:val="00580AA5"/>
    <w:rsid w:val="00580AE1"/>
    <w:rsid w:val="00580B59"/>
    <w:rsid w:val="00580DE4"/>
    <w:rsid w:val="00581FCD"/>
    <w:rsid w:val="00584807"/>
    <w:rsid w:val="00584CD5"/>
    <w:rsid w:val="00584EAA"/>
    <w:rsid w:val="005860DF"/>
    <w:rsid w:val="005870D3"/>
    <w:rsid w:val="00587135"/>
    <w:rsid w:val="0058733F"/>
    <w:rsid w:val="00587BA8"/>
    <w:rsid w:val="00590BC9"/>
    <w:rsid w:val="005914F5"/>
    <w:rsid w:val="00591A7B"/>
    <w:rsid w:val="005943DD"/>
    <w:rsid w:val="0059493B"/>
    <w:rsid w:val="0059506F"/>
    <w:rsid w:val="005957CD"/>
    <w:rsid w:val="0059596A"/>
    <w:rsid w:val="0059751D"/>
    <w:rsid w:val="0059764C"/>
    <w:rsid w:val="005979C1"/>
    <w:rsid w:val="00597EBB"/>
    <w:rsid w:val="005A03BF"/>
    <w:rsid w:val="005A179A"/>
    <w:rsid w:val="005A3D50"/>
    <w:rsid w:val="005A4D42"/>
    <w:rsid w:val="005A6E31"/>
    <w:rsid w:val="005A70DC"/>
    <w:rsid w:val="005A72E8"/>
    <w:rsid w:val="005B170C"/>
    <w:rsid w:val="005B19F6"/>
    <w:rsid w:val="005B1D82"/>
    <w:rsid w:val="005B22F0"/>
    <w:rsid w:val="005B23F2"/>
    <w:rsid w:val="005B2F39"/>
    <w:rsid w:val="005B4ADC"/>
    <w:rsid w:val="005B5921"/>
    <w:rsid w:val="005B5CC1"/>
    <w:rsid w:val="005B7336"/>
    <w:rsid w:val="005C075D"/>
    <w:rsid w:val="005C2B91"/>
    <w:rsid w:val="005C3AB9"/>
    <w:rsid w:val="005C3CA0"/>
    <w:rsid w:val="005C5818"/>
    <w:rsid w:val="005C58AB"/>
    <w:rsid w:val="005C5B8D"/>
    <w:rsid w:val="005C6525"/>
    <w:rsid w:val="005C6786"/>
    <w:rsid w:val="005C6963"/>
    <w:rsid w:val="005C7B16"/>
    <w:rsid w:val="005C7E5B"/>
    <w:rsid w:val="005D08B4"/>
    <w:rsid w:val="005D3DB7"/>
    <w:rsid w:val="005D50C4"/>
    <w:rsid w:val="005D568A"/>
    <w:rsid w:val="005D633D"/>
    <w:rsid w:val="005D63C8"/>
    <w:rsid w:val="005D6961"/>
    <w:rsid w:val="005E098D"/>
    <w:rsid w:val="005E20E5"/>
    <w:rsid w:val="005E347D"/>
    <w:rsid w:val="005E3C41"/>
    <w:rsid w:val="005E3DF4"/>
    <w:rsid w:val="005E422A"/>
    <w:rsid w:val="005E758F"/>
    <w:rsid w:val="005E7981"/>
    <w:rsid w:val="005F1535"/>
    <w:rsid w:val="005F195F"/>
    <w:rsid w:val="005F2BB5"/>
    <w:rsid w:val="005F374B"/>
    <w:rsid w:val="005F5AA9"/>
    <w:rsid w:val="00605B41"/>
    <w:rsid w:val="00606A28"/>
    <w:rsid w:val="00606F27"/>
    <w:rsid w:val="0061012F"/>
    <w:rsid w:val="006139C1"/>
    <w:rsid w:val="00613A88"/>
    <w:rsid w:val="0061463F"/>
    <w:rsid w:val="00617570"/>
    <w:rsid w:val="00617D92"/>
    <w:rsid w:val="006234D1"/>
    <w:rsid w:val="006244FB"/>
    <w:rsid w:val="00624C01"/>
    <w:rsid w:val="006259B1"/>
    <w:rsid w:val="006272DF"/>
    <w:rsid w:val="00627870"/>
    <w:rsid w:val="00630095"/>
    <w:rsid w:val="00631A18"/>
    <w:rsid w:val="00631AC6"/>
    <w:rsid w:val="006336EB"/>
    <w:rsid w:val="006339D6"/>
    <w:rsid w:val="00635227"/>
    <w:rsid w:val="0063559E"/>
    <w:rsid w:val="0063622A"/>
    <w:rsid w:val="00636861"/>
    <w:rsid w:val="00636B76"/>
    <w:rsid w:val="006372C4"/>
    <w:rsid w:val="00640087"/>
    <w:rsid w:val="00640388"/>
    <w:rsid w:val="006417E5"/>
    <w:rsid w:val="00641CB3"/>
    <w:rsid w:val="00644278"/>
    <w:rsid w:val="00644E2D"/>
    <w:rsid w:val="0064521A"/>
    <w:rsid w:val="00645FEE"/>
    <w:rsid w:val="006464B4"/>
    <w:rsid w:val="00652272"/>
    <w:rsid w:val="00657BAF"/>
    <w:rsid w:val="00665110"/>
    <w:rsid w:val="00666378"/>
    <w:rsid w:val="00670EE4"/>
    <w:rsid w:val="00671074"/>
    <w:rsid w:val="0067208C"/>
    <w:rsid w:val="00672E65"/>
    <w:rsid w:val="00675BEA"/>
    <w:rsid w:val="00675D1E"/>
    <w:rsid w:val="00675E07"/>
    <w:rsid w:val="00676573"/>
    <w:rsid w:val="00676606"/>
    <w:rsid w:val="00676BC4"/>
    <w:rsid w:val="0067705A"/>
    <w:rsid w:val="0067732F"/>
    <w:rsid w:val="00680C16"/>
    <w:rsid w:val="0068222D"/>
    <w:rsid w:val="00682E27"/>
    <w:rsid w:val="00683811"/>
    <w:rsid w:val="00684F8C"/>
    <w:rsid w:val="00685767"/>
    <w:rsid w:val="006862EB"/>
    <w:rsid w:val="00686461"/>
    <w:rsid w:val="0069164A"/>
    <w:rsid w:val="0069273D"/>
    <w:rsid w:val="00692BAA"/>
    <w:rsid w:val="0069440F"/>
    <w:rsid w:val="0069568F"/>
    <w:rsid w:val="00696B0E"/>
    <w:rsid w:val="00696CB0"/>
    <w:rsid w:val="0069787A"/>
    <w:rsid w:val="006A0D46"/>
    <w:rsid w:val="006A68A1"/>
    <w:rsid w:val="006A6FEC"/>
    <w:rsid w:val="006B4034"/>
    <w:rsid w:val="006B612D"/>
    <w:rsid w:val="006B6591"/>
    <w:rsid w:val="006C026C"/>
    <w:rsid w:val="006C2B2F"/>
    <w:rsid w:val="006C3A0D"/>
    <w:rsid w:val="006C443B"/>
    <w:rsid w:val="006C607C"/>
    <w:rsid w:val="006C6A55"/>
    <w:rsid w:val="006C6AC5"/>
    <w:rsid w:val="006C73AE"/>
    <w:rsid w:val="006C7F74"/>
    <w:rsid w:val="006D0D4C"/>
    <w:rsid w:val="006D14D6"/>
    <w:rsid w:val="006D20C0"/>
    <w:rsid w:val="006D23B8"/>
    <w:rsid w:val="006D30C7"/>
    <w:rsid w:val="006D46FC"/>
    <w:rsid w:val="006D5074"/>
    <w:rsid w:val="006D5C23"/>
    <w:rsid w:val="006D6C4C"/>
    <w:rsid w:val="006D77D3"/>
    <w:rsid w:val="006E0010"/>
    <w:rsid w:val="006E06CF"/>
    <w:rsid w:val="006E0C6F"/>
    <w:rsid w:val="006E33F9"/>
    <w:rsid w:val="006F0530"/>
    <w:rsid w:val="006F0F53"/>
    <w:rsid w:val="006F1B00"/>
    <w:rsid w:val="006F689D"/>
    <w:rsid w:val="006F7B4A"/>
    <w:rsid w:val="00700F3B"/>
    <w:rsid w:val="00701902"/>
    <w:rsid w:val="00701CB6"/>
    <w:rsid w:val="0070251E"/>
    <w:rsid w:val="00702C2A"/>
    <w:rsid w:val="00705D64"/>
    <w:rsid w:val="00710188"/>
    <w:rsid w:val="00710B56"/>
    <w:rsid w:val="00710DD4"/>
    <w:rsid w:val="00711487"/>
    <w:rsid w:val="0071196F"/>
    <w:rsid w:val="007122F8"/>
    <w:rsid w:val="00712D19"/>
    <w:rsid w:val="007140C9"/>
    <w:rsid w:val="007158B2"/>
    <w:rsid w:val="00722105"/>
    <w:rsid w:val="0072385E"/>
    <w:rsid w:val="00725339"/>
    <w:rsid w:val="007263E5"/>
    <w:rsid w:val="00726BBE"/>
    <w:rsid w:val="00727912"/>
    <w:rsid w:val="00727DE1"/>
    <w:rsid w:val="00730DCD"/>
    <w:rsid w:val="00734DEB"/>
    <w:rsid w:val="00735313"/>
    <w:rsid w:val="00735F3E"/>
    <w:rsid w:val="00737744"/>
    <w:rsid w:val="00741FEB"/>
    <w:rsid w:val="00742FF9"/>
    <w:rsid w:val="00745585"/>
    <w:rsid w:val="0075147F"/>
    <w:rsid w:val="00753146"/>
    <w:rsid w:val="00754CE2"/>
    <w:rsid w:val="007573A2"/>
    <w:rsid w:val="0076006D"/>
    <w:rsid w:val="00760AE7"/>
    <w:rsid w:val="00761A04"/>
    <w:rsid w:val="00762BD3"/>
    <w:rsid w:val="007644BB"/>
    <w:rsid w:val="0076495E"/>
    <w:rsid w:val="007653A4"/>
    <w:rsid w:val="007664D2"/>
    <w:rsid w:val="007665D1"/>
    <w:rsid w:val="00766632"/>
    <w:rsid w:val="00767703"/>
    <w:rsid w:val="007708D1"/>
    <w:rsid w:val="00770F16"/>
    <w:rsid w:val="00771840"/>
    <w:rsid w:val="007721C7"/>
    <w:rsid w:val="0077264B"/>
    <w:rsid w:val="00773C4E"/>
    <w:rsid w:val="0077623E"/>
    <w:rsid w:val="00777DFC"/>
    <w:rsid w:val="00780459"/>
    <w:rsid w:val="007834AF"/>
    <w:rsid w:val="00784204"/>
    <w:rsid w:val="007856FF"/>
    <w:rsid w:val="0078624D"/>
    <w:rsid w:val="00790547"/>
    <w:rsid w:val="00792E4F"/>
    <w:rsid w:val="00793291"/>
    <w:rsid w:val="007936C5"/>
    <w:rsid w:val="00793D0D"/>
    <w:rsid w:val="00794BC7"/>
    <w:rsid w:val="0079686A"/>
    <w:rsid w:val="00796CA8"/>
    <w:rsid w:val="007A3231"/>
    <w:rsid w:val="007A43DD"/>
    <w:rsid w:val="007A4AED"/>
    <w:rsid w:val="007B2A47"/>
    <w:rsid w:val="007B4E22"/>
    <w:rsid w:val="007B5343"/>
    <w:rsid w:val="007B7BBB"/>
    <w:rsid w:val="007C1DCD"/>
    <w:rsid w:val="007C4717"/>
    <w:rsid w:val="007C521E"/>
    <w:rsid w:val="007C55CE"/>
    <w:rsid w:val="007C762D"/>
    <w:rsid w:val="007C7FBF"/>
    <w:rsid w:val="007D0F28"/>
    <w:rsid w:val="007D216D"/>
    <w:rsid w:val="007D2D45"/>
    <w:rsid w:val="007D2F06"/>
    <w:rsid w:val="007D4124"/>
    <w:rsid w:val="007D7086"/>
    <w:rsid w:val="007E315E"/>
    <w:rsid w:val="007E3440"/>
    <w:rsid w:val="007E59DB"/>
    <w:rsid w:val="007E7FB1"/>
    <w:rsid w:val="007F0CBE"/>
    <w:rsid w:val="007F1B2F"/>
    <w:rsid w:val="007F53C8"/>
    <w:rsid w:val="0080045B"/>
    <w:rsid w:val="00800840"/>
    <w:rsid w:val="00803C45"/>
    <w:rsid w:val="00804ACF"/>
    <w:rsid w:val="00805447"/>
    <w:rsid w:val="008058FA"/>
    <w:rsid w:val="00805983"/>
    <w:rsid w:val="008075C8"/>
    <w:rsid w:val="00810D6E"/>
    <w:rsid w:val="00813EB6"/>
    <w:rsid w:val="00817262"/>
    <w:rsid w:val="0081741B"/>
    <w:rsid w:val="00820AD7"/>
    <w:rsid w:val="00821A96"/>
    <w:rsid w:val="008242DB"/>
    <w:rsid w:val="00824430"/>
    <w:rsid w:val="008278B3"/>
    <w:rsid w:val="00830453"/>
    <w:rsid w:val="00831BB1"/>
    <w:rsid w:val="00831C03"/>
    <w:rsid w:val="00833A7E"/>
    <w:rsid w:val="00834673"/>
    <w:rsid w:val="00840FEB"/>
    <w:rsid w:val="008422F8"/>
    <w:rsid w:val="00842D99"/>
    <w:rsid w:val="00844000"/>
    <w:rsid w:val="00845659"/>
    <w:rsid w:val="008523A2"/>
    <w:rsid w:val="00852A07"/>
    <w:rsid w:val="0085415E"/>
    <w:rsid w:val="00854177"/>
    <w:rsid w:val="008543B8"/>
    <w:rsid w:val="00854885"/>
    <w:rsid w:val="00854DAE"/>
    <w:rsid w:val="0085518B"/>
    <w:rsid w:val="008553BC"/>
    <w:rsid w:val="0086180F"/>
    <w:rsid w:val="00861DDE"/>
    <w:rsid w:val="00865255"/>
    <w:rsid w:val="0087078A"/>
    <w:rsid w:val="008719A4"/>
    <w:rsid w:val="008719D4"/>
    <w:rsid w:val="00871A39"/>
    <w:rsid w:val="00871FDF"/>
    <w:rsid w:val="008729A1"/>
    <w:rsid w:val="00872ED3"/>
    <w:rsid w:val="00873327"/>
    <w:rsid w:val="0087376A"/>
    <w:rsid w:val="008738D9"/>
    <w:rsid w:val="008754D7"/>
    <w:rsid w:val="00876FF3"/>
    <w:rsid w:val="00880F32"/>
    <w:rsid w:val="00882EC6"/>
    <w:rsid w:val="00885052"/>
    <w:rsid w:val="0088523F"/>
    <w:rsid w:val="00885E2F"/>
    <w:rsid w:val="008865B5"/>
    <w:rsid w:val="00886BCD"/>
    <w:rsid w:val="00890948"/>
    <w:rsid w:val="00890F0E"/>
    <w:rsid w:val="008924B6"/>
    <w:rsid w:val="00892E7C"/>
    <w:rsid w:val="00893782"/>
    <w:rsid w:val="00895548"/>
    <w:rsid w:val="00895A8E"/>
    <w:rsid w:val="008A0FF6"/>
    <w:rsid w:val="008A10B8"/>
    <w:rsid w:val="008A1A3E"/>
    <w:rsid w:val="008A270A"/>
    <w:rsid w:val="008A2B5A"/>
    <w:rsid w:val="008A5662"/>
    <w:rsid w:val="008A5E82"/>
    <w:rsid w:val="008A617A"/>
    <w:rsid w:val="008B2B5B"/>
    <w:rsid w:val="008B3F2B"/>
    <w:rsid w:val="008B4DBF"/>
    <w:rsid w:val="008B4FF1"/>
    <w:rsid w:val="008C2BBD"/>
    <w:rsid w:val="008C4356"/>
    <w:rsid w:val="008D0088"/>
    <w:rsid w:val="008D0A33"/>
    <w:rsid w:val="008D1AC5"/>
    <w:rsid w:val="008D230A"/>
    <w:rsid w:val="008D254A"/>
    <w:rsid w:val="008D30D8"/>
    <w:rsid w:val="008D5493"/>
    <w:rsid w:val="008D6E3B"/>
    <w:rsid w:val="008D7DF2"/>
    <w:rsid w:val="008E0E98"/>
    <w:rsid w:val="008E158C"/>
    <w:rsid w:val="008E2753"/>
    <w:rsid w:val="008E50C8"/>
    <w:rsid w:val="008E5F7A"/>
    <w:rsid w:val="008F5F66"/>
    <w:rsid w:val="00901EBC"/>
    <w:rsid w:val="00901F95"/>
    <w:rsid w:val="00902DD8"/>
    <w:rsid w:val="00903A2D"/>
    <w:rsid w:val="00904BA4"/>
    <w:rsid w:val="00904FC8"/>
    <w:rsid w:val="00907C38"/>
    <w:rsid w:val="00910185"/>
    <w:rsid w:val="0091121E"/>
    <w:rsid w:val="009143BC"/>
    <w:rsid w:val="00914DC3"/>
    <w:rsid w:val="0091534F"/>
    <w:rsid w:val="0091663F"/>
    <w:rsid w:val="00920CFB"/>
    <w:rsid w:val="00921D40"/>
    <w:rsid w:val="00923D98"/>
    <w:rsid w:val="00926164"/>
    <w:rsid w:val="009268CD"/>
    <w:rsid w:val="00927EBB"/>
    <w:rsid w:val="009301B7"/>
    <w:rsid w:val="009302D7"/>
    <w:rsid w:val="00930C1D"/>
    <w:rsid w:val="00933603"/>
    <w:rsid w:val="00934BA2"/>
    <w:rsid w:val="00936640"/>
    <w:rsid w:val="00937125"/>
    <w:rsid w:val="00940C42"/>
    <w:rsid w:val="00942ED8"/>
    <w:rsid w:val="00943F23"/>
    <w:rsid w:val="00944D5B"/>
    <w:rsid w:val="009457C7"/>
    <w:rsid w:val="00945B60"/>
    <w:rsid w:val="0094766E"/>
    <w:rsid w:val="0095034D"/>
    <w:rsid w:val="009514B2"/>
    <w:rsid w:val="0095235E"/>
    <w:rsid w:val="009523BB"/>
    <w:rsid w:val="00952A7A"/>
    <w:rsid w:val="009551F5"/>
    <w:rsid w:val="009554AB"/>
    <w:rsid w:val="00955739"/>
    <w:rsid w:val="00956AAC"/>
    <w:rsid w:val="00957AED"/>
    <w:rsid w:val="00957BD8"/>
    <w:rsid w:val="009601EF"/>
    <w:rsid w:val="0096036A"/>
    <w:rsid w:val="00960C9E"/>
    <w:rsid w:val="00961944"/>
    <w:rsid w:val="00964531"/>
    <w:rsid w:val="009725A0"/>
    <w:rsid w:val="00972E24"/>
    <w:rsid w:val="00974E93"/>
    <w:rsid w:val="00974F81"/>
    <w:rsid w:val="00975261"/>
    <w:rsid w:val="009760AB"/>
    <w:rsid w:val="00976D6B"/>
    <w:rsid w:val="009808ED"/>
    <w:rsid w:val="00980C83"/>
    <w:rsid w:val="009815ED"/>
    <w:rsid w:val="0098299A"/>
    <w:rsid w:val="00984F7B"/>
    <w:rsid w:val="00987673"/>
    <w:rsid w:val="00987D83"/>
    <w:rsid w:val="00987DD7"/>
    <w:rsid w:val="00990A50"/>
    <w:rsid w:val="00991B4E"/>
    <w:rsid w:val="009952F1"/>
    <w:rsid w:val="00996549"/>
    <w:rsid w:val="0099776D"/>
    <w:rsid w:val="009979AE"/>
    <w:rsid w:val="009A1524"/>
    <w:rsid w:val="009A3410"/>
    <w:rsid w:val="009B0CC8"/>
    <w:rsid w:val="009B3098"/>
    <w:rsid w:val="009B4026"/>
    <w:rsid w:val="009C3B3A"/>
    <w:rsid w:val="009C461A"/>
    <w:rsid w:val="009C65E1"/>
    <w:rsid w:val="009C713E"/>
    <w:rsid w:val="009D14C7"/>
    <w:rsid w:val="009D2191"/>
    <w:rsid w:val="009D23A8"/>
    <w:rsid w:val="009D367B"/>
    <w:rsid w:val="009D529D"/>
    <w:rsid w:val="009D5803"/>
    <w:rsid w:val="009D5E53"/>
    <w:rsid w:val="009D6B8E"/>
    <w:rsid w:val="009D706A"/>
    <w:rsid w:val="009D7EDD"/>
    <w:rsid w:val="009E227D"/>
    <w:rsid w:val="009E28C4"/>
    <w:rsid w:val="009E2B83"/>
    <w:rsid w:val="009E426E"/>
    <w:rsid w:val="009E4446"/>
    <w:rsid w:val="009E47DF"/>
    <w:rsid w:val="009E510A"/>
    <w:rsid w:val="009E5263"/>
    <w:rsid w:val="009F1962"/>
    <w:rsid w:val="009F2591"/>
    <w:rsid w:val="009F2AAD"/>
    <w:rsid w:val="009F3CFB"/>
    <w:rsid w:val="009F44AB"/>
    <w:rsid w:val="009F5190"/>
    <w:rsid w:val="009F5369"/>
    <w:rsid w:val="009F6A4C"/>
    <w:rsid w:val="009F7939"/>
    <w:rsid w:val="00A01A44"/>
    <w:rsid w:val="00A0293E"/>
    <w:rsid w:val="00A048F1"/>
    <w:rsid w:val="00A07154"/>
    <w:rsid w:val="00A1126D"/>
    <w:rsid w:val="00A12E7C"/>
    <w:rsid w:val="00A14A8E"/>
    <w:rsid w:val="00A14A90"/>
    <w:rsid w:val="00A20630"/>
    <w:rsid w:val="00A20C12"/>
    <w:rsid w:val="00A20EC6"/>
    <w:rsid w:val="00A230DD"/>
    <w:rsid w:val="00A24FE9"/>
    <w:rsid w:val="00A2612C"/>
    <w:rsid w:val="00A313E1"/>
    <w:rsid w:val="00A31C6E"/>
    <w:rsid w:val="00A32E37"/>
    <w:rsid w:val="00A3322C"/>
    <w:rsid w:val="00A33E42"/>
    <w:rsid w:val="00A3438B"/>
    <w:rsid w:val="00A363F5"/>
    <w:rsid w:val="00A410D0"/>
    <w:rsid w:val="00A41724"/>
    <w:rsid w:val="00A41878"/>
    <w:rsid w:val="00A44ECB"/>
    <w:rsid w:val="00A5144D"/>
    <w:rsid w:val="00A5256B"/>
    <w:rsid w:val="00A56D84"/>
    <w:rsid w:val="00A61486"/>
    <w:rsid w:val="00A62427"/>
    <w:rsid w:val="00A62BB7"/>
    <w:rsid w:val="00A65C88"/>
    <w:rsid w:val="00A66EBF"/>
    <w:rsid w:val="00A670E0"/>
    <w:rsid w:val="00A70052"/>
    <w:rsid w:val="00A70DD8"/>
    <w:rsid w:val="00A70E69"/>
    <w:rsid w:val="00A715A6"/>
    <w:rsid w:val="00A73B21"/>
    <w:rsid w:val="00A75E71"/>
    <w:rsid w:val="00A75E86"/>
    <w:rsid w:val="00A80B7F"/>
    <w:rsid w:val="00A819FC"/>
    <w:rsid w:val="00A81D36"/>
    <w:rsid w:val="00A81FEF"/>
    <w:rsid w:val="00A83408"/>
    <w:rsid w:val="00A83613"/>
    <w:rsid w:val="00A863CB"/>
    <w:rsid w:val="00A87B2E"/>
    <w:rsid w:val="00A87FC5"/>
    <w:rsid w:val="00A90BCF"/>
    <w:rsid w:val="00A95427"/>
    <w:rsid w:val="00A9554F"/>
    <w:rsid w:val="00A96324"/>
    <w:rsid w:val="00AA00F1"/>
    <w:rsid w:val="00AA084E"/>
    <w:rsid w:val="00AA1979"/>
    <w:rsid w:val="00AA19AF"/>
    <w:rsid w:val="00AA23BE"/>
    <w:rsid w:val="00AA2AF6"/>
    <w:rsid w:val="00AA2E75"/>
    <w:rsid w:val="00AA343F"/>
    <w:rsid w:val="00AA4287"/>
    <w:rsid w:val="00AA4FE7"/>
    <w:rsid w:val="00AA645F"/>
    <w:rsid w:val="00AA69AD"/>
    <w:rsid w:val="00AA70EE"/>
    <w:rsid w:val="00AA74D2"/>
    <w:rsid w:val="00AA798F"/>
    <w:rsid w:val="00AB12F5"/>
    <w:rsid w:val="00AB3F7D"/>
    <w:rsid w:val="00AB4334"/>
    <w:rsid w:val="00AB582E"/>
    <w:rsid w:val="00AB5D81"/>
    <w:rsid w:val="00AC3C6E"/>
    <w:rsid w:val="00AC4053"/>
    <w:rsid w:val="00AD0160"/>
    <w:rsid w:val="00AD04FC"/>
    <w:rsid w:val="00AD1392"/>
    <w:rsid w:val="00AD36E5"/>
    <w:rsid w:val="00AD4677"/>
    <w:rsid w:val="00AD6251"/>
    <w:rsid w:val="00AD7317"/>
    <w:rsid w:val="00AE049F"/>
    <w:rsid w:val="00AE1C62"/>
    <w:rsid w:val="00AE2F95"/>
    <w:rsid w:val="00AE496C"/>
    <w:rsid w:val="00AE6273"/>
    <w:rsid w:val="00AE7ACD"/>
    <w:rsid w:val="00AF0CC8"/>
    <w:rsid w:val="00AF2F19"/>
    <w:rsid w:val="00AF36DE"/>
    <w:rsid w:val="00AF4C53"/>
    <w:rsid w:val="00AF515C"/>
    <w:rsid w:val="00AF6FB8"/>
    <w:rsid w:val="00AF777C"/>
    <w:rsid w:val="00B00AD3"/>
    <w:rsid w:val="00B03B67"/>
    <w:rsid w:val="00B04388"/>
    <w:rsid w:val="00B0577F"/>
    <w:rsid w:val="00B05784"/>
    <w:rsid w:val="00B072FC"/>
    <w:rsid w:val="00B10941"/>
    <w:rsid w:val="00B10BDE"/>
    <w:rsid w:val="00B127F3"/>
    <w:rsid w:val="00B129FB"/>
    <w:rsid w:val="00B1459A"/>
    <w:rsid w:val="00B15CEF"/>
    <w:rsid w:val="00B1780F"/>
    <w:rsid w:val="00B2002E"/>
    <w:rsid w:val="00B24B36"/>
    <w:rsid w:val="00B25283"/>
    <w:rsid w:val="00B2609F"/>
    <w:rsid w:val="00B313AD"/>
    <w:rsid w:val="00B325A3"/>
    <w:rsid w:val="00B3689B"/>
    <w:rsid w:val="00B36A4F"/>
    <w:rsid w:val="00B3751B"/>
    <w:rsid w:val="00B37AF7"/>
    <w:rsid w:val="00B37D77"/>
    <w:rsid w:val="00B41287"/>
    <w:rsid w:val="00B444AF"/>
    <w:rsid w:val="00B475D7"/>
    <w:rsid w:val="00B500E9"/>
    <w:rsid w:val="00B5122A"/>
    <w:rsid w:val="00B518DB"/>
    <w:rsid w:val="00B53004"/>
    <w:rsid w:val="00B53D15"/>
    <w:rsid w:val="00B63112"/>
    <w:rsid w:val="00B653BB"/>
    <w:rsid w:val="00B65850"/>
    <w:rsid w:val="00B65A16"/>
    <w:rsid w:val="00B700D0"/>
    <w:rsid w:val="00B70D43"/>
    <w:rsid w:val="00B71DD9"/>
    <w:rsid w:val="00B7458F"/>
    <w:rsid w:val="00B757EC"/>
    <w:rsid w:val="00B75C28"/>
    <w:rsid w:val="00B80159"/>
    <w:rsid w:val="00B80A4E"/>
    <w:rsid w:val="00B80F19"/>
    <w:rsid w:val="00B817AD"/>
    <w:rsid w:val="00B82A31"/>
    <w:rsid w:val="00B83CD4"/>
    <w:rsid w:val="00B8440C"/>
    <w:rsid w:val="00B85DA2"/>
    <w:rsid w:val="00B8651B"/>
    <w:rsid w:val="00B8739B"/>
    <w:rsid w:val="00B87702"/>
    <w:rsid w:val="00B87980"/>
    <w:rsid w:val="00B90FEE"/>
    <w:rsid w:val="00B9298D"/>
    <w:rsid w:val="00B95793"/>
    <w:rsid w:val="00B959A6"/>
    <w:rsid w:val="00B95F37"/>
    <w:rsid w:val="00B969B1"/>
    <w:rsid w:val="00BA3622"/>
    <w:rsid w:val="00BA4EC6"/>
    <w:rsid w:val="00BA76A7"/>
    <w:rsid w:val="00BA7AD6"/>
    <w:rsid w:val="00BA7F40"/>
    <w:rsid w:val="00BB0B2A"/>
    <w:rsid w:val="00BB32B0"/>
    <w:rsid w:val="00BB3817"/>
    <w:rsid w:val="00BB4355"/>
    <w:rsid w:val="00BB7214"/>
    <w:rsid w:val="00BB7780"/>
    <w:rsid w:val="00BC06BC"/>
    <w:rsid w:val="00BC2208"/>
    <w:rsid w:val="00BC30BD"/>
    <w:rsid w:val="00BC32F9"/>
    <w:rsid w:val="00BC37AB"/>
    <w:rsid w:val="00BC5830"/>
    <w:rsid w:val="00BC5FAD"/>
    <w:rsid w:val="00BC6B27"/>
    <w:rsid w:val="00BC6F3D"/>
    <w:rsid w:val="00BD20A5"/>
    <w:rsid w:val="00BD22F4"/>
    <w:rsid w:val="00BD663F"/>
    <w:rsid w:val="00BE52EB"/>
    <w:rsid w:val="00BF0869"/>
    <w:rsid w:val="00BF1E05"/>
    <w:rsid w:val="00BF7199"/>
    <w:rsid w:val="00BF71FA"/>
    <w:rsid w:val="00C00711"/>
    <w:rsid w:val="00C00D9F"/>
    <w:rsid w:val="00C00ED7"/>
    <w:rsid w:val="00C016B9"/>
    <w:rsid w:val="00C03445"/>
    <w:rsid w:val="00C03B83"/>
    <w:rsid w:val="00C0642A"/>
    <w:rsid w:val="00C0749C"/>
    <w:rsid w:val="00C1062B"/>
    <w:rsid w:val="00C116BB"/>
    <w:rsid w:val="00C11F34"/>
    <w:rsid w:val="00C12514"/>
    <w:rsid w:val="00C12F4C"/>
    <w:rsid w:val="00C13797"/>
    <w:rsid w:val="00C13BF8"/>
    <w:rsid w:val="00C14AB5"/>
    <w:rsid w:val="00C17CC2"/>
    <w:rsid w:val="00C20703"/>
    <w:rsid w:val="00C2087B"/>
    <w:rsid w:val="00C20DEA"/>
    <w:rsid w:val="00C228D8"/>
    <w:rsid w:val="00C22E13"/>
    <w:rsid w:val="00C241C5"/>
    <w:rsid w:val="00C24DF1"/>
    <w:rsid w:val="00C2710D"/>
    <w:rsid w:val="00C313FA"/>
    <w:rsid w:val="00C338D5"/>
    <w:rsid w:val="00C342AB"/>
    <w:rsid w:val="00C34579"/>
    <w:rsid w:val="00C346C0"/>
    <w:rsid w:val="00C359C6"/>
    <w:rsid w:val="00C35A58"/>
    <w:rsid w:val="00C35BB4"/>
    <w:rsid w:val="00C37005"/>
    <w:rsid w:val="00C40F4B"/>
    <w:rsid w:val="00C41409"/>
    <w:rsid w:val="00C41CC4"/>
    <w:rsid w:val="00C41FC2"/>
    <w:rsid w:val="00C42104"/>
    <w:rsid w:val="00C42E9C"/>
    <w:rsid w:val="00C460FB"/>
    <w:rsid w:val="00C47929"/>
    <w:rsid w:val="00C50369"/>
    <w:rsid w:val="00C52278"/>
    <w:rsid w:val="00C52EB3"/>
    <w:rsid w:val="00C53DDF"/>
    <w:rsid w:val="00C5411A"/>
    <w:rsid w:val="00C60703"/>
    <w:rsid w:val="00C615FE"/>
    <w:rsid w:val="00C63E8B"/>
    <w:rsid w:val="00C650C2"/>
    <w:rsid w:val="00C6650A"/>
    <w:rsid w:val="00C6667C"/>
    <w:rsid w:val="00C67075"/>
    <w:rsid w:val="00C70244"/>
    <w:rsid w:val="00C70FFA"/>
    <w:rsid w:val="00C72118"/>
    <w:rsid w:val="00C72694"/>
    <w:rsid w:val="00C7316D"/>
    <w:rsid w:val="00C74A28"/>
    <w:rsid w:val="00C75463"/>
    <w:rsid w:val="00C76BE5"/>
    <w:rsid w:val="00C80366"/>
    <w:rsid w:val="00C809E0"/>
    <w:rsid w:val="00C85F6F"/>
    <w:rsid w:val="00C8655C"/>
    <w:rsid w:val="00C87B76"/>
    <w:rsid w:val="00C90FFF"/>
    <w:rsid w:val="00C92072"/>
    <w:rsid w:val="00C93453"/>
    <w:rsid w:val="00C94D93"/>
    <w:rsid w:val="00C95A98"/>
    <w:rsid w:val="00C9655D"/>
    <w:rsid w:val="00C96C64"/>
    <w:rsid w:val="00CA02DD"/>
    <w:rsid w:val="00CA1240"/>
    <w:rsid w:val="00CA1CE5"/>
    <w:rsid w:val="00CA20D3"/>
    <w:rsid w:val="00CA382D"/>
    <w:rsid w:val="00CA3A77"/>
    <w:rsid w:val="00CA43BE"/>
    <w:rsid w:val="00CA48DE"/>
    <w:rsid w:val="00CB5CB2"/>
    <w:rsid w:val="00CB6EDD"/>
    <w:rsid w:val="00CB7128"/>
    <w:rsid w:val="00CB7F4C"/>
    <w:rsid w:val="00CC17AC"/>
    <w:rsid w:val="00CC44B5"/>
    <w:rsid w:val="00CC5E62"/>
    <w:rsid w:val="00CD10A3"/>
    <w:rsid w:val="00CD1C1C"/>
    <w:rsid w:val="00CD4FD7"/>
    <w:rsid w:val="00CD778A"/>
    <w:rsid w:val="00CE05CF"/>
    <w:rsid w:val="00CE1723"/>
    <w:rsid w:val="00CE4602"/>
    <w:rsid w:val="00CE5998"/>
    <w:rsid w:val="00CE7741"/>
    <w:rsid w:val="00CF22A5"/>
    <w:rsid w:val="00CF2A28"/>
    <w:rsid w:val="00CF54CD"/>
    <w:rsid w:val="00CF6DD4"/>
    <w:rsid w:val="00D039D4"/>
    <w:rsid w:val="00D0658D"/>
    <w:rsid w:val="00D07AC4"/>
    <w:rsid w:val="00D07E29"/>
    <w:rsid w:val="00D10442"/>
    <w:rsid w:val="00D11209"/>
    <w:rsid w:val="00D12B35"/>
    <w:rsid w:val="00D13350"/>
    <w:rsid w:val="00D22B8D"/>
    <w:rsid w:val="00D246B2"/>
    <w:rsid w:val="00D24BA4"/>
    <w:rsid w:val="00D257D7"/>
    <w:rsid w:val="00D278EB"/>
    <w:rsid w:val="00D31150"/>
    <w:rsid w:val="00D3178D"/>
    <w:rsid w:val="00D32DC2"/>
    <w:rsid w:val="00D353ED"/>
    <w:rsid w:val="00D35F38"/>
    <w:rsid w:val="00D40D67"/>
    <w:rsid w:val="00D4156B"/>
    <w:rsid w:val="00D4250D"/>
    <w:rsid w:val="00D44CB7"/>
    <w:rsid w:val="00D46796"/>
    <w:rsid w:val="00D47AB3"/>
    <w:rsid w:val="00D60681"/>
    <w:rsid w:val="00D619EE"/>
    <w:rsid w:val="00D6334F"/>
    <w:rsid w:val="00D635AE"/>
    <w:rsid w:val="00D63D3C"/>
    <w:rsid w:val="00D63F99"/>
    <w:rsid w:val="00D64139"/>
    <w:rsid w:val="00D64B0D"/>
    <w:rsid w:val="00D64B38"/>
    <w:rsid w:val="00D64D2D"/>
    <w:rsid w:val="00D6722F"/>
    <w:rsid w:val="00D716E0"/>
    <w:rsid w:val="00D722A8"/>
    <w:rsid w:val="00D72CED"/>
    <w:rsid w:val="00D72EB6"/>
    <w:rsid w:val="00D72EF0"/>
    <w:rsid w:val="00D737B1"/>
    <w:rsid w:val="00D743D1"/>
    <w:rsid w:val="00D75A61"/>
    <w:rsid w:val="00D7607E"/>
    <w:rsid w:val="00D7735B"/>
    <w:rsid w:val="00D8373F"/>
    <w:rsid w:val="00D84B80"/>
    <w:rsid w:val="00D855EF"/>
    <w:rsid w:val="00D87AEC"/>
    <w:rsid w:val="00D904D1"/>
    <w:rsid w:val="00D90FD2"/>
    <w:rsid w:val="00D911FB"/>
    <w:rsid w:val="00D919A5"/>
    <w:rsid w:val="00D9247C"/>
    <w:rsid w:val="00D96D27"/>
    <w:rsid w:val="00DA0CA3"/>
    <w:rsid w:val="00DA0FFF"/>
    <w:rsid w:val="00DA3968"/>
    <w:rsid w:val="00DA4E60"/>
    <w:rsid w:val="00DA4EDD"/>
    <w:rsid w:val="00DA5D3E"/>
    <w:rsid w:val="00DB0794"/>
    <w:rsid w:val="00DB24C5"/>
    <w:rsid w:val="00DB34B7"/>
    <w:rsid w:val="00DB4246"/>
    <w:rsid w:val="00DB7C12"/>
    <w:rsid w:val="00DC2FF1"/>
    <w:rsid w:val="00DC5C0E"/>
    <w:rsid w:val="00DC6468"/>
    <w:rsid w:val="00DC6D1C"/>
    <w:rsid w:val="00DD11A1"/>
    <w:rsid w:val="00DD2A28"/>
    <w:rsid w:val="00DD511B"/>
    <w:rsid w:val="00DD57B3"/>
    <w:rsid w:val="00DD59A5"/>
    <w:rsid w:val="00DD5EE2"/>
    <w:rsid w:val="00DD5FB7"/>
    <w:rsid w:val="00DD6F2D"/>
    <w:rsid w:val="00DE33F0"/>
    <w:rsid w:val="00DE7BB1"/>
    <w:rsid w:val="00DF53F4"/>
    <w:rsid w:val="00DF5E6F"/>
    <w:rsid w:val="00DF6B1E"/>
    <w:rsid w:val="00DF78B1"/>
    <w:rsid w:val="00E01B6E"/>
    <w:rsid w:val="00E01D33"/>
    <w:rsid w:val="00E01E98"/>
    <w:rsid w:val="00E03B6E"/>
    <w:rsid w:val="00E03BC1"/>
    <w:rsid w:val="00E04A75"/>
    <w:rsid w:val="00E0568D"/>
    <w:rsid w:val="00E068D7"/>
    <w:rsid w:val="00E0721B"/>
    <w:rsid w:val="00E07A2A"/>
    <w:rsid w:val="00E07BFF"/>
    <w:rsid w:val="00E10C5D"/>
    <w:rsid w:val="00E1153E"/>
    <w:rsid w:val="00E1304D"/>
    <w:rsid w:val="00E13108"/>
    <w:rsid w:val="00E15F73"/>
    <w:rsid w:val="00E17043"/>
    <w:rsid w:val="00E1732A"/>
    <w:rsid w:val="00E17B08"/>
    <w:rsid w:val="00E20534"/>
    <w:rsid w:val="00E22474"/>
    <w:rsid w:val="00E23122"/>
    <w:rsid w:val="00E23F7B"/>
    <w:rsid w:val="00E24D22"/>
    <w:rsid w:val="00E26196"/>
    <w:rsid w:val="00E273CE"/>
    <w:rsid w:val="00E27AE1"/>
    <w:rsid w:val="00E30052"/>
    <w:rsid w:val="00E358B3"/>
    <w:rsid w:val="00E40EA3"/>
    <w:rsid w:val="00E41498"/>
    <w:rsid w:val="00E41E77"/>
    <w:rsid w:val="00E41FEA"/>
    <w:rsid w:val="00E428B3"/>
    <w:rsid w:val="00E45BC0"/>
    <w:rsid w:val="00E46E14"/>
    <w:rsid w:val="00E4765A"/>
    <w:rsid w:val="00E500C0"/>
    <w:rsid w:val="00E50DFD"/>
    <w:rsid w:val="00E53D12"/>
    <w:rsid w:val="00E56A44"/>
    <w:rsid w:val="00E56AEA"/>
    <w:rsid w:val="00E6017A"/>
    <w:rsid w:val="00E61E2C"/>
    <w:rsid w:val="00E621F8"/>
    <w:rsid w:val="00E64449"/>
    <w:rsid w:val="00E64CB2"/>
    <w:rsid w:val="00E678E0"/>
    <w:rsid w:val="00E7087F"/>
    <w:rsid w:val="00E73294"/>
    <w:rsid w:val="00E7497A"/>
    <w:rsid w:val="00E74ECF"/>
    <w:rsid w:val="00E7503F"/>
    <w:rsid w:val="00E751A7"/>
    <w:rsid w:val="00E75236"/>
    <w:rsid w:val="00E76BA5"/>
    <w:rsid w:val="00E77AAB"/>
    <w:rsid w:val="00E813AE"/>
    <w:rsid w:val="00E81DDC"/>
    <w:rsid w:val="00E82190"/>
    <w:rsid w:val="00E879DD"/>
    <w:rsid w:val="00E91393"/>
    <w:rsid w:val="00E936C9"/>
    <w:rsid w:val="00E94708"/>
    <w:rsid w:val="00E96149"/>
    <w:rsid w:val="00E96222"/>
    <w:rsid w:val="00E9630D"/>
    <w:rsid w:val="00E97F62"/>
    <w:rsid w:val="00EA0309"/>
    <w:rsid w:val="00EA2FBA"/>
    <w:rsid w:val="00EA36F8"/>
    <w:rsid w:val="00EA73AF"/>
    <w:rsid w:val="00EB01EB"/>
    <w:rsid w:val="00EB2624"/>
    <w:rsid w:val="00EB2AAD"/>
    <w:rsid w:val="00EB459E"/>
    <w:rsid w:val="00EB589E"/>
    <w:rsid w:val="00EB59AD"/>
    <w:rsid w:val="00EB72D4"/>
    <w:rsid w:val="00EB7AC1"/>
    <w:rsid w:val="00EC03ED"/>
    <w:rsid w:val="00EC07E8"/>
    <w:rsid w:val="00EC16C6"/>
    <w:rsid w:val="00EC17D1"/>
    <w:rsid w:val="00EC2287"/>
    <w:rsid w:val="00EC3383"/>
    <w:rsid w:val="00EC3792"/>
    <w:rsid w:val="00EC392B"/>
    <w:rsid w:val="00EC3B2F"/>
    <w:rsid w:val="00EC4660"/>
    <w:rsid w:val="00EC5AA1"/>
    <w:rsid w:val="00ED14AB"/>
    <w:rsid w:val="00ED1B3B"/>
    <w:rsid w:val="00ED2694"/>
    <w:rsid w:val="00ED7EFF"/>
    <w:rsid w:val="00EE5CB3"/>
    <w:rsid w:val="00EE6B55"/>
    <w:rsid w:val="00EF0A10"/>
    <w:rsid w:val="00EF1998"/>
    <w:rsid w:val="00EF26A3"/>
    <w:rsid w:val="00EF2A20"/>
    <w:rsid w:val="00EF31F3"/>
    <w:rsid w:val="00EF38F8"/>
    <w:rsid w:val="00EF3FFC"/>
    <w:rsid w:val="00EF682B"/>
    <w:rsid w:val="00EF69B1"/>
    <w:rsid w:val="00EF71CC"/>
    <w:rsid w:val="00EF7697"/>
    <w:rsid w:val="00EF76F5"/>
    <w:rsid w:val="00F00988"/>
    <w:rsid w:val="00F019B6"/>
    <w:rsid w:val="00F04E9D"/>
    <w:rsid w:val="00F06660"/>
    <w:rsid w:val="00F06F14"/>
    <w:rsid w:val="00F11CD3"/>
    <w:rsid w:val="00F12642"/>
    <w:rsid w:val="00F12BAF"/>
    <w:rsid w:val="00F14268"/>
    <w:rsid w:val="00F143E0"/>
    <w:rsid w:val="00F163A0"/>
    <w:rsid w:val="00F20902"/>
    <w:rsid w:val="00F2646F"/>
    <w:rsid w:val="00F30184"/>
    <w:rsid w:val="00F30367"/>
    <w:rsid w:val="00F32EF8"/>
    <w:rsid w:val="00F32F1A"/>
    <w:rsid w:val="00F32FE8"/>
    <w:rsid w:val="00F330C6"/>
    <w:rsid w:val="00F33560"/>
    <w:rsid w:val="00F34B48"/>
    <w:rsid w:val="00F3545C"/>
    <w:rsid w:val="00F356E6"/>
    <w:rsid w:val="00F37A09"/>
    <w:rsid w:val="00F417EF"/>
    <w:rsid w:val="00F4494B"/>
    <w:rsid w:val="00F44BAB"/>
    <w:rsid w:val="00F45211"/>
    <w:rsid w:val="00F4592D"/>
    <w:rsid w:val="00F513B1"/>
    <w:rsid w:val="00F52011"/>
    <w:rsid w:val="00F5216A"/>
    <w:rsid w:val="00F528A8"/>
    <w:rsid w:val="00F52C6D"/>
    <w:rsid w:val="00F5302A"/>
    <w:rsid w:val="00F532D1"/>
    <w:rsid w:val="00F53BC5"/>
    <w:rsid w:val="00F557E7"/>
    <w:rsid w:val="00F558A6"/>
    <w:rsid w:val="00F55BD1"/>
    <w:rsid w:val="00F55D39"/>
    <w:rsid w:val="00F623EB"/>
    <w:rsid w:val="00F63E75"/>
    <w:rsid w:val="00F64A83"/>
    <w:rsid w:val="00F654F0"/>
    <w:rsid w:val="00F67E0C"/>
    <w:rsid w:val="00F700D7"/>
    <w:rsid w:val="00F7134E"/>
    <w:rsid w:val="00F7157A"/>
    <w:rsid w:val="00F72951"/>
    <w:rsid w:val="00F74BAD"/>
    <w:rsid w:val="00F75317"/>
    <w:rsid w:val="00F77F8F"/>
    <w:rsid w:val="00F801FD"/>
    <w:rsid w:val="00F813B4"/>
    <w:rsid w:val="00F818EF"/>
    <w:rsid w:val="00F855C7"/>
    <w:rsid w:val="00F85C62"/>
    <w:rsid w:val="00F8661C"/>
    <w:rsid w:val="00F8746A"/>
    <w:rsid w:val="00F92A01"/>
    <w:rsid w:val="00F95F67"/>
    <w:rsid w:val="00F962F4"/>
    <w:rsid w:val="00F968D7"/>
    <w:rsid w:val="00F975A9"/>
    <w:rsid w:val="00FA21D0"/>
    <w:rsid w:val="00FA347E"/>
    <w:rsid w:val="00FA5CDA"/>
    <w:rsid w:val="00FA6C62"/>
    <w:rsid w:val="00FB176F"/>
    <w:rsid w:val="00FB25F5"/>
    <w:rsid w:val="00FB3D21"/>
    <w:rsid w:val="00FB49BB"/>
    <w:rsid w:val="00FB5CE8"/>
    <w:rsid w:val="00FB5EE8"/>
    <w:rsid w:val="00FC10D6"/>
    <w:rsid w:val="00FC34C3"/>
    <w:rsid w:val="00FC3E7A"/>
    <w:rsid w:val="00FC4127"/>
    <w:rsid w:val="00FC54C5"/>
    <w:rsid w:val="00FC6E85"/>
    <w:rsid w:val="00FC7DBC"/>
    <w:rsid w:val="00FD2CC2"/>
    <w:rsid w:val="00FD6B5C"/>
    <w:rsid w:val="00FD6DD0"/>
    <w:rsid w:val="00FD6FEC"/>
    <w:rsid w:val="00FE011C"/>
    <w:rsid w:val="00FE0295"/>
    <w:rsid w:val="00FE4292"/>
    <w:rsid w:val="00FE47ED"/>
    <w:rsid w:val="00FE4806"/>
    <w:rsid w:val="00FE501A"/>
    <w:rsid w:val="00FF0A6D"/>
    <w:rsid w:val="00FF1C4D"/>
    <w:rsid w:val="00FF44D1"/>
    <w:rsid w:val="00FF5D13"/>
    <w:rsid w:val="00FF7BEB"/>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doNotIncludeSubdocsInStats/>
  <w14:docId w14:val="031AB0C3"/>
  <w15:docId w15:val="{6503D324-8B0D-46A2-AFB7-1E04F1F5D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90"/>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har,Char Char Char1,Char Char1,Char1,Footnote Text Char,Footnote Text Char Char,Footnote Text Char Char Char Char,Footnote Text Char1 Char1 Char,Footnote Text1 Char,Schriftart: 10 pt,Schriftart: 8 pt,Schriftart: 9 pt,c obr,fn"/>
    <w:basedOn w:val="Normal"/>
    <w:link w:val="TextpoznpodarouChar"/>
    <w:qFormat/>
    <w:rsid w:val="006234D1"/>
    <w:rPr>
      <w:sz w:val="20"/>
      <w:szCs w:val="20"/>
    </w:rPr>
  </w:style>
  <w:style w:type="character" w:customStyle="1" w:styleId="TextpoznpodarouChar">
    <w:name w:val="Text pozn. pod čarou Char"/>
    <w:aliases w:val="Char Char,Char Char Char1 Char1,Char Char1 Char1,Char1 Char,Footnote Text Char Char2,Footnote Text Char1 Char1 Char Char1,Schriftart: 10 pt Char,Schriftart: 8 pt Char,Schriftart: 9 pt Char,c obr Char1,fn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link w:val="FootnotesymbolCarZchn"/>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uiPriority w:val="99"/>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rsid w:val="0038503D"/>
    <w:rPr>
      <w:sz w:val="20"/>
      <w:szCs w:val="20"/>
    </w:rPr>
  </w:style>
  <w:style w:type="character" w:customStyle="1" w:styleId="TextkomenteChar">
    <w:name w:val="Text komentáře Char"/>
    <w:basedOn w:val="DefaultParagraphFont"/>
    <w:link w:val="CommentText"/>
    <w:uiPriority w:val="99"/>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har Char Char1 Char,Char Char1 Char,Char Char2,Char1 Char1,Footnote Text Char Char1,Footnote Text Char1 Char1 Char Char,Schriftart: 10 pt Char1,Schriftart: 8 pt Char1,Schriftart: 9 pt Char1,c obr Char,fn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B0577F"/>
    <w:pPr>
      <w:spacing w:after="100"/>
    </w:pPr>
  </w:style>
  <w:style w:type="character" w:styleId="Hyperlink">
    <w:name w:val="Hyperlink"/>
    <w:basedOn w:val="DefaultParagraphFont"/>
    <w:uiPriority w:val="99"/>
    <w:unhideWhenUsed/>
    <w:rsid w:val="00D07AC4"/>
    <w:rPr>
      <w:color w:val="0000FF" w:themeColor="hyperlink"/>
      <w:u w:val="single"/>
    </w:rPr>
  </w:style>
  <w:style w:type="paragraph" w:styleId="NormalWeb">
    <w:name w:val="Normal (Web)"/>
    <w:basedOn w:val="Normal"/>
    <w:uiPriority w:val="99"/>
    <w:unhideWhenUsed/>
    <w:rsid w:val="00580AE1"/>
    <w:rPr>
      <w:rFonts w:eastAsiaTheme="minorHAnsi"/>
    </w:rPr>
  </w:style>
  <w:style w:type="character" w:styleId="Emphasis">
    <w:name w:val="Emphasis"/>
    <w:basedOn w:val="DefaultParagraphFont"/>
    <w:uiPriority w:val="20"/>
    <w:qFormat/>
    <w:rsid w:val="00141064"/>
    <w:rPr>
      <w:i/>
      <w:iCs/>
    </w:rPr>
  </w:style>
  <w:style w:type="paragraph" w:styleId="Revision">
    <w:name w:val="Revision"/>
    <w:hidden/>
    <w:uiPriority w:val="99"/>
    <w:semiHidden/>
    <w:rsid w:val="00682E27"/>
    <w:rPr>
      <w:sz w:val="24"/>
      <w:szCs w:val="24"/>
    </w:rPr>
  </w:style>
  <w:style w:type="paragraph" w:customStyle="1" w:styleId="Default">
    <w:name w:val="Default"/>
    <w:rsid w:val="00676573"/>
    <w:pPr>
      <w:autoSpaceDE w:val="0"/>
      <w:autoSpaceDN w:val="0"/>
      <w:adjustRightInd w:val="0"/>
    </w:pPr>
    <w:rPr>
      <w:rFonts w:ascii="Arial" w:hAnsi="Arial" w:cs="Arial"/>
      <w:color w:val="000000"/>
      <w:sz w:val="24"/>
      <w:szCs w:val="24"/>
    </w:rPr>
  </w:style>
  <w:style w:type="table" w:styleId="PlainTable1">
    <w:name w:val="Plain Table 1"/>
    <w:basedOn w:val="TableNormal"/>
    <w:uiPriority w:val="41"/>
    <w:rsid w:val="00FD2CC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s-alignment-element">
    <w:name w:val="ts-alignment-element"/>
    <w:basedOn w:val="DefaultParagraphFont"/>
    <w:rsid w:val="00A5256B"/>
  </w:style>
  <w:style w:type="character" w:customStyle="1" w:styleId="ts-alignment-element-highlighted">
    <w:name w:val="ts-alignment-element-highlighted"/>
    <w:basedOn w:val="DefaultParagraphFont"/>
    <w:rsid w:val="00A5256B"/>
  </w:style>
  <w:style w:type="paragraph" w:styleId="Title">
    <w:name w:val="Title"/>
    <w:basedOn w:val="Normal"/>
    <w:next w:val="Normal"/>
    <w:link w:val="NzevChar"/>
    <w:qFormat/>
    <w:rsid w:val="00526A31"/>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DefaultParagraphFont"/>
    <w:link w:val="Title"/>
    <w:rsid w:val="00526A31"/>
    <w:rPr>
      <w:rFonts w:asciiTheme="majorHAnsi" w:eastAsiaTheme="majorEastAsia" w:hAnsiTheme="majorHAnsi" w:cstheme="majorBidi"/>
      <w:spacing w:val="-10"/>
      <w:kern w:val="28"/>
      <w:sz w:val="56"/>
      <w:szCs w:val="56"/>
    </w:rPr>
  </w:style>
  <w:style w:type="paragraph" w:styleId="Subtitle">
    <w:name w:val="Subtitle"/>
    <w:basedOn w:val="Normal"/>
    <w:next w:val="Normal"/>
    <w:link w:val="PodnadpisChar"/>
    <w:qFormat/>
    <w:rsid w:val="00526A3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DefaultParagraphFont"/>
    <w:link w:val="Subtitle"/>
    <w:rsid w:val="00526A31"/>
    <w:rPr>
      <w:rFonts w:asciiTheme="minorHAnsi" w:eastAsiaTheme="minorEastAsia" w:hAnsiTheme="minorHAnsi" w:cstheme="minorBidi"/>
      <w:color w:val="5A5A5A" w:themeColor="text1" w:themeTint="A5"/>
      <w:spacing w:val="15"/>
      <w:sz w:val="22"/>
      <w:szCs w:val="22"/>
    </w:rPr>
  </w:style>
  <w:style w:type="paragraph" w:styleId="TableofFigures">
    <w:name w:val="table of figures"/>
    <w:basedOn w:val="Normal"/>
    <w:next w:val="Normal"/>
    <w:uiPriority w:val="99"/>
    <w:unhideWhenUsed/>
    <w:rsid w:val="00FD6FEC"/>
  </w:style>
  <w:style w:type="paragraph" w:customStyle="1" w:styleId="FootnotesymbolCarZchn">
    <w:name w:val="Footnote symbol Car Zchn"/>
    <w:aliases w:val="BVI fnr Car Zchn,Char Char Char Char Char Car Zchn,Exposant 3 Point Car Zchn,Footnote Car Zchn,Footnote Reference Superscript Car Zchn,SUPERS Car Zchn,Times 10 Point Car Zchn"/>
    <w:basedOn w:val="Normal"/>
    <w:link w:val="FootnoteReference"/>
    <w:rsid w:val="00F33560"/>
    <w:pPr>
      <w:spacing w:after="160" w:line="240" w:lineRule="exact"/>
    </w:pPr>
    <w:rPr>
      <w:sz w:val="20"/>
      <w:szCs w:val="20"/>
      <w:vertAlign w:val="superscript"/>
    </w:rPr>
  </w:style>
  <w:style w:type="character" w:customStyle="1" w:styleId="UnresolvedMention">
    <w:name w:val="Unresolved Mention"/>
    <w:basedOn w:val="DefaultParagraphFont"/>
    <w:uiPriority w:val="99"/>
    <w:semiHidden/>
    <w:unhideWhenUsed/>
    <w:rsid w:val="003D7C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header" Target="header2.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footnotes.xml.rels>&#65279;<?xml version="1.0" encoding="utf-8" standalone="yes"?><Relationships xmlns="http://schemas.openxmlformats.org/package/2006/relationships"><Relationship Id="rId1" Type="http://schemas.openxmlformats.org/officeDocument/2006/relationships/hyperlink" Target="https://health.ec.europa.eu/medicinal-products/pharmaceutical-strategy-europe_cs" TargetMode="External" /><Relationship Id="rId2" Type="http://schemas.openxmlformats.org/officeDocument/2006/relationships/hyperlink" Target="https://www.databaze-strategie.cz/cz/mpo/strategie/hospodarska-strategie-ceske-republiky-cesko-do-top-10" TargetMode="External" /><Relationship Id="rId3" Type="http://schemas.openxmlformats.org/officeDocument/2006/relationships/hyperlink" Target="https://mpo.gov.cz/cz/rozcestnik/pro-media/tiskove-zpravy/hospodarska-strategie-ceske-republiky-ministr-vlcek-predstavil-cestu-do-top-10-zemi-evropske-unie--283601/"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jpeg" /><Relationship Id="rId2" Type="http://schemas.openxmlformats.org/officeDocument/2006/relationships/image" Target="media/image1.png" /></Relationships>
</file>

<file path=word/_rels/header2.xml.rels>&#65279;<?xml version="1.0" encoding="utf-8" standalone="yes"?><Relationships xmlns="http://schemas.openxmlformats.org/package/2006/relationships"><Relationship Id="rId1" Type="http://schemas.openxmlformats.org/officeDocument/2006/relationships/image" Target="media/image3.jpeg"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20AA5356FDA964DAAD2EB26BB5A79C5" ma:contentTypeVersion="18" ma:contentTypeDescription="Vytvoří nový dokument" ma:contentTypeScope="" ma:versionID="50cdf47e110d94980a8edd8575f7a890">
  <xsd:schema xmlns:xsd="http://www.w3.org/2001/XMLSchema" xmlns:xs="http://www.w3.org/2001/XMLSchema" xmlns:p="http://schemas.microsoft.com/office/2006/metadata/properties" xmlns:ns2="84f235d5-9d7e-41db-8e11-de76a4a2997e" xmlns:ns3="884f790c-861b-4d4c-80e8-fbf4d4a0edfa" targetNamespace="http://schemas.microsoft.com/office/2006/metadata/properties" ma:root="true" ma:fieldsID="543e13baa89dc063eab4f06b090b0575" ns2:_="" ns3:_="">
    <xsd:import namespace="84f235d5-9d7e-41db-8e11-de76a4a2997e"/>
    <xsd:import namespace="884f790c-861b-4d4c-80e8-fbf4d4a0ed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235d5-9d7e-41db-8e11-de76a4a299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63d20a35-149b-4608-81b4-e7fcde63788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f790c-861b-4d4c-80e8-fbf4d4a0edfa"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e88efb0-8448-4fdd-b3e9-834cc369144b}" ma:internalName="TaxCatchAll" ma:showField="CatchAllData" ma:web="884f790c-861b-4d4c-80e8-fbf4d4a0ed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84f790c-861b-4d4c-80e8-fbf4d4a0edfa" xsi:nil="true"/>
    <lcf76f155ced4ddcb4097134ff3c332f xmlns="84f235d5-9d7e-41db-8e11-de76a4a299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A4456F-C5E9-4BEA-8A46-FE10C505BEC4}">
  <ds:schemaRefs>
    <ds:schemaRef ds:uri="http://schemas.openxmlformats.org/officeDocument/2006/bibliography"/>
  </ds:schemaRefs>
</ds:datastoreItem>
</file>

<file path=customXml/itemProps2.xml><?xml version="1.0" encoding="utf-8"?>
<ds:datastoreItem xmlns:ds="http://schemas.openxmlformats.org/officeDocument/2006/customXml" ds:itemID="{016E38AE-61AC-45E2-8527-1F457FD86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f235d5-9d7e-41db-8e11-de76a4a2997e"/>
    <ds:schemaRef ds:uri="884f790c-861b-4d4c-80e8-fbf4d4a0e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21288-E96E-4771-8F8B-E8163EF9391E}">
  <ds:schemaRefs>
    <ds:schemaRef ds:uri="http://purl.org/dc/terms/"/>
    <ds:schemaRef ds:uri="http://schemas.microsoft.com/office/2006/documentManagement/types"/>
    <ds:schemaRef ds:uri="884f790c-861b-4d4c-80e8-fbf4d4a0edfa"/>
    <ds:schemaRef ds:uri="http://purl.org/dc/elements/1.1/"/>
    <ds:schemaRef ds:uri="http://schemas.microsoft.com/office/2006/metadata/properties"/>
    <ds:schemaRef ds:uri="84f235d5-9d7e-41db-8e11-de76a4a2997e"/>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335033E-ED21-43FC-828C-A598366AA4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39</Pages>
  <Words>7840</Words>
  <Characters>51187</Characters>
  <Application>Microsoft Office Word</Application>
  <DocSecurity>0</DocSecurity>
  <Lines>426</Lines>
  <Paragraphs>117</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58910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Bakičová Hana Ing.</dc:creator>
  <cp:lastModifiedBy>Vránová Tereza, Mgr.</cp:lastModifiedBy>
  <cp:revision>18</cp:revision>
  <cp:lastPrinted>2025-08-05T08:18:00Z</cp:lastPrinted>
  <dcterms:created xsi:type="dcterms:W3CDTF">2025-08-29T12:00:00Z</dcterms:created>
  <dcterms:modified xsi:type="dcterms:W3CDTF">2025-09-14T17:20:00Z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0x010100120AA5356FDA964DAAD2EB26BB5A79C5</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MediaServiceImageTags">
    <vt:lpwstr/>
  </property>
  <property fmtid="{D5CDD505-2E9C-101B-9397-08002B2CF9AE}" pid="28" name="NameAddress_Contact_SpisovyUzel_PoziceZodpo_Pisemnost">
    <vt:lpwstr>Úřad vlády České republiky</vt:lpwstr>
  </property>
  <property fmtid="{D5CDD505-2E9C-101B-9397-08002B2CF9AE}" pid="29" name="NamePostalAddress_Contact_PostaOdes">
    <vt:lpwstr>POŠTOVNÍ ADRESA
{PostalAddress_Contact_PostaOdes}</vt:lpwstr>
  </property>
  <property fmtid="{D5CDD505-2E9C-101B-9397-08002B2CF9AE}" pid="30" name="Odkaz">
    <vt:lpwstr>ODKAZ</vt:lpwstr>
  </property>
  <property fmtid="{D5CDD505-2E9C-101B-9397-08002B2CF9AE}" pid="31" name="Password_PisemnostTypZpristupneniInformaciZOSZ_Pisemnost">
    <vt:lpwstr>ZOSZ_Password</vt:lpwstr>
  </property>
  <property fmtid="{D5CDD505-2E9C-101B-9397-08002B2CF9AE}" pid="32" name="PocetListuDokumentu_Pisemnost">
    <vt:lpwstr>1</vt:lpwstr>
  </property>
  <property fmtid="{D5CDD505-2E9C-101B-9397-08002B2CF9AE}" pid="33" name="PocetListu_Pisemnost">
    <vt:lpwstr>1/812</vt:lpwstr>
  </property>
  <property fmtid="{D5CDD505-2E9C-101B-9397-08002B2CF9AE}" pid="34" name="PocetPriloh_Pisemnost">
    <vt:lpwstr>812</vt:lpwstr>
  </property>
  <property fmtid="{D5CDD505-2E9C-101B-9397-08002B2CF9AE}" pid="35" name="Podpis">
    <vt:lpwstr/>
  </property>
  <property fmtid="{D5CDD505-2E9C-101B-9397-08002B2CF9AE}" pid="36" name="PoleVlastnost">
    <vt:lpwstr/>
  </property>
  <property fmtid="{D5CDD505-2E9C-101B-9397-08002B2CF9AE}" pid="37" name="PostalAddress_Contact_SpisovyUzel_PoziceZodpo_Pisemnost">
    <vt:lpwstr>nábřeží Edvarda Beneše 4/128
11801 Praha 1 - Malá Strana</vt:lpwstr>
  </property>
  <property fmtid="{D5CDD505-2E9C-101B-9397-08002B2CF9AE}" pid="38" name="QREC_Pisemnost">
    <vt:lpwstr>UVCR25D0038742</vt:lpwstr>
  </property>
  <property fmtid="{D5CDD505-2E9C-101B-9397-08002B2CF9AE}" pid="39" name="RC">
    <vt:lpwstr/>
  </property>
  <property fmtid="{D5CDD505-2E9C-101B-9397-08002B2CF9AE}" pid="40" name="SkartacniZnakLhuta_PisemnostZnak">
    <vt:lpwstr>S/5</vt:lpwstr>
  </property>
  <property fmtid="{D5CDD505-2E9C-101B-9397-08002B2CF9AE}" pid="41" name="SmlouvaCislo">
    <vt:lpwstr>ČÍSLO SMLOUVY</vt:lpwstr>
  </property>
  <property fmtid="{D5CDD505-2E9C-101B-9397-08002B2CF9AE}" pid="42" name="SZ_Spis_Pisemnost">
    <vt:lpwstr>SPIS-2025-7326</vt:lpwstr>
  </property>
  <property fmtid="{D5CDD505-2E9C-101B-9397-08002B2CF9AE}" pid="43" name="Termin_Pisemnost">
    <vt:lpwstr>20.10.2025</vt:lpwstr>
  </property>
  <property fmtid="{D5CDD505-2E9C-101B-9397-08002B2CF9AE}" pid="44" name="TEST">
    <vt:lpwstr>testovací pole</vt:lpwstr>
  </property>
  <property fmtid="{D5CDD505-2E9C-101B-9397-08002B2CF9AE}" pid="45" name="TypPrilohy_Pisemnost">
    <vt:lpwstr>811 Dokument + 1 Soubor</vt:lpwstr>
  </property>
  <property fmtid="{D5CDD505-2E9C-101B-9397-08002B2CF9AE}" pid="46" name="UserName_PisemnostTypZpristupneniInformaciZOSZ_Pisemnost">
    <vt:lpwstr>ZOSZ_UserName</vt:lpwstr>
  </property>
  <property fmtid="{D5CDD505-2E9C-101B-9397-08002B2CF9AE}" pid="47" name="Vec_Pisemnost">
    <vt:lpwstr>K podpisu PM_Dopis RVVI_žádost o stanovisko_Strategie Zdraví 2030_prolongace na Zdraví 2035</vt:lpwstr>
  </property>
  <property fmtid="{D5CDD505-2E9C-101B-9397-08002B2CF9AE}" pid="48" name="Zkratka_SpisovyUzel_PoziceZodpo_Pisemnost">
    <vt:lpwstr>VVI</vt:lpwstr>
  </property>
</Properties>
</file>